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A0F8C">
        <w:rPr>
          <w:rFonts w:ascii="Times New Roman" w:eastAsia="Calibri" w:hAnsi="Times New Roman" w:cs="Times New Roman"/>
          <w:b/>
          <w:sz w:val="24"/>
          <w:szCs w:val="24"/>
        </w:rPr>
        <w:t>Metaadatok</w:t>
      </w:r>
      <w:proofErr w:type="spellEnd"/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 az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i/>
          <w:sz w:val="24"/>
          <w:szCs w:val="24"/>
        </w:rPr>
        <w:t>Erdei fatermékek termelése, készletváltozása és erdészeti árstatisztikák (OSAP 1259)</w:t>
      </w: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A0F8C">
        <w:rPr>
          <w:rFonts w:ascii="Times New Roman" w:eastAsia="Calibri" w:hAnsi="Times New Roman" w:cs="Times New Roman"/>
          <w:b/>
          <w:sz w:val="24"/>
          <w:szCs w:val="24"/>
        </w:rPr>
        <w:t>című</w:t>
      </w:r>
      <w:proofErr w:type="gramEnd"/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 szakstatisztikához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>A tájékoztató utolsó frissítése: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2023. december 11.</w:t>
      </w: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felelőse: 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5" w:history="1">
        <w:r w:rsidRPr="00AA0F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osap-erdeszet@nfk.gov.hu</w:t>
        </w:r>
      </w:hyperlink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célja: </w:t>
      </w:r>
      <w:r w:rsidRPr="00AA0F8C">
        <w:rPr>
          <w:rFonts w:ascii="Times New Roman" w:eastAsia="Calibri" w:hAnsi="Times New Roman" w:cs="Times New Roman"/>
          <w:sz w:val="24"/>
          <w:szCs w:val="24"/>
        </w:rPr>
        <w:t>fontosabb erdei fatermékek készletváltozásainak és az értékesítésükből származó árbevételeknek, valamint erdészeti munkák kivitelezéséhez kapcsolódó vállalkozói díjaknak a becslése szektoronként (állami erdőgazdálkodók, azon belül állami erdőgazdaságok, valamint magán erdőgazdálkodók) és országosan.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tartalma: 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Az OSAP 1259 számú adatgyűjtésben a statisztikák jelenleg három résztáblázatba vannak foglalva:</w:t>
      </w:r>
    </w:p>
    <w:p w:rsidR="00AA0F8C" w:rsidRPr="00AA0F8C" w:rsidRDefault="00AA0F8C" w:rsidP="00AA0F8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Erdei fatermékek termelés és készletváltozása;</w:t>
      </w:r>
    </w:p>
    <w:p w:rsidR="00AA0F8C" w:rsidRPr="00AA0F8C" w:rsidRDefault="00AA0F8C" w:rsidP="00AA0F8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Erdei faválasztékok értékesítési árai;</w:t>
      </w:r>
    </w:p>
    <w:p w:rsidR="00AA0F8C" w:rsidRPr="00AA0F8C" w:rsidRDefault="00AA0F8C" w:rsidP="00AA0F8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Erdészeti szaporítóanyagok és munkák vállalkozói kivitelezési díjai.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Az 1. sz. résztáblázatban az erdőgazdálkodók által a saját gazdálkodási területükön kitermelt vagy bérmunkában kitermeltetett faanyagból származó fontosabb erdei fatermékek éves nyitókészletéről, termeléséről, beszerzéséről, felhasználásáról, értékesítéséről és az értékesítésből származó árbevételről szolgáltatnak adatokat. A 2. sz. résztáblázat meghatározott erdei fatermékek tény vagy kalkulációval becsült árát, míg a 3. sz. résztáblázat egyes szaporítóanyagok árát, valamint különféle erdészeti tevékenységekhez kapcsolódó vállalkozási kivitelezési díjakat tartalmaz.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>Gyakoriság: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évenkénti.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A szakstatisztika története: 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Az erdei fatermékek termelésével, készletváltozásával, valamint értékesítésével kapcsolatos statisztikák (vagyis a jelenlegi 1. sz. résztáblázat adatainak) gyűjtése 1981-ben indult. Kezdetben az adatszolgáltatók között nemcsak erdőgazdálkodók, hanem faipari cégek is szerepeltek. Később csak az állami erdőgazdaságokra szűkült az adatgyűjtés, majd 2017-től kezdődően az adatszolgáltatók köre egyéb erdőgazdálkodókkal bővült. A gyűjtött adatok köre 2019-ben egészült ki konkrét, jól meghatározott (adott minőségű és </w:t>
      </w:r>
      <w:proofErr w:type="spellStart"/>
      <w:r w:rsidRPr="00AA0F8C">
        <w:rPr>
          <w:rFonts w:ascii="Times New Roman" w:eastAsia="Calibri" w:hAnsi="Times New Roman" w:cs="Times New Roman"/>
          <w:sz w:val="24"/>
          <w:szCs w:val="24"/>
        </w:rPr>
        <w:t>feldolgozottságú</w:t>
      </w:r>
      <w:proofErr w:type="spellEnd"/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, adott helyen értékesített) erdei </w:t>
      </w:r>
      <w:r w:rsidRPr="00AA0F8C">
        <w:rPr>
          <w:rFonts w:ascii="Times New Roman" w:eastAsia="Calibri" w:hAnsi="Times New Roman" w:cs="Times New Roman"/>
          <w:sz w:val="24"/>
          <w:szCs w:val="24"/>
        </w:rPr>
        <w:lastRenderedPageBreak/>
        <w:t>fatermékek árstatisztikáival, valamint az erdészeti munkákhoz köthető vállalkozási díjakkal, ezáltal a kitöltendő táblázatok száma háromra emelkedett.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>Jogi alap: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Az Országos Statisztikai Adatfelvételi Program kötelező adatszolgáltatásairól szóló 388/2017. (XII. 13.) Korm. rendelet.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Pr="00AA0F8C">
        <w:rPr>
          <w:rFonts w:ascii="Times New Roman" w:eastAsia="Calibri" w:hAnsi="Times New Roman" w:cs="Times New Roman"/>
          <w:sz w:val="24"/>
          <w:szCs w:val="24"/>
        </w:rPr>
        <w:t>tárgyév december 31.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Gyakoriság: </w:t>
      </w:r>
      <w:r w:rsidRPr="00AA0F8C">
        <w:rPr>
          <w:rFonts w:ascii="Times New Roman" w:eastAsia="Calibri" w:hAnsi="Times New Roman" w:cs="Times New Roman"/>
          <w:sz w:val="24"/>
          <w:szCs w:val="24"/>
        </w:rPr>
        <w:t>évente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Mértékegységek: 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Nettó köbméter az erdei fatermékek termelésére és készletváltozására vonatkozóan, valamint ezer forint az értékesítési árbevétel esetén. Az </w:t>
      </w:r>
      <w:proofErr w:type="gramStart"/>
      <w:r w:rsidRPr="00AA0F8C">
        <w:rPr>
          <w:rFonts w:ascii="Times New Roman" w:eastAsia="Calibri" w:hAnsi="Times New Roman" w:cs="Times New Roman"/>
          <w:sz w:val="24"/>
          <w:szCs w:val="24"/>
        </w:rPr>
        <w:t>árstatisztikák</w:t>
      </w:r>
      <w:proofErr w:type="gramEnd"/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ill. vállalkozási kivitelezési díjak adott dimenzióra (bruttó köbméter, hektár, méter, darab stb.) vetített árai ÁFA nélküli, forintban kifejezett árak.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Alkalmazott osztályozások: </w:t>
      </w:r>
      <w:r w:rsidRPr="00AA0F8C">
        <w:rPr>
          <w:rFonts w:ascii="Times New Roman" w:eastAsia="Calibri" w:hAnsi="Times New Roman" w:cs="Times New Roman"/>
          <w:sz w:val="24"/>
          <w:szCs w:val="24"/>
        </w:rPr>
        <w:t>Fafajok és erdei választékok.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Felhasznált adatforrások: </w:t>
      </w:r>
      <w:r w:rsidRPr="00AA0F8C">
        <w:rPr>
          <w:rFonts w:ascii="Times New Roman" w:eastAsia="Calibri" w:hAnsi="Times New Roman" w:cs="Times New Roman"/>
          <w:sz w:val="24"/>
          <w:szCs w:val="24"/>
        </w:rPr>
        <w:t>Az adatszolgáltatók kijelölése az Erdőgazdálkodói Nyilvántartás valamint az Országos Erdőállomány Adattár adatai alapján zajlik.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Közzétételi formák: </w:t>
      </w:r>
    </w:p>
    <w:p w:rsidR="00AA0F8C" w:rsidRPr="00AA0F8C" w:rsidRDefault="00AA0F8C" w:rsidP="00AA0F8C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Az Agrárminisztérium honlapja:</w:t>
      </w:r>
    </w:p>
    <w:p w:rsidR="00AA0F8C" w:rsidRPr="00AA0F8C" w:rsidRDefault="00AA0F8C" w:rsidP="00AA0F8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AA0F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https://agrarstatisztika.kormany.hu/erdogazdalkodas2</w:t>
        </w:r>
      </w:hyperlink>
      <w:r w:rsidRPr="00AA0F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0F8C" w:rsidRPr="00AA0F8C" w:rsidRDefault="00AA0F8C" w:rsidP="00AA0F8C">
      <w:pPr>
        <w:numPr>
          <w:ilvl w:val="1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0F8C">
        <w:rPr>
          <w:rFonts w:ascii="Times New Roman" w:eastAsia="Calibri" w:hAnsi="Times New Roman" w:cs="Times New Roman"/>
          <w:i/>
          <w:sz w:val="24"/>
          <w:szCs w:val="24"/>
        </w:rPr>
        <w:t>State</w:t>
      </w:r>
      <w:proofErr w:type="spellEnd"/>
      <w:r w:rsidRPr="00AA0F8C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AA0F8C">
        <w:rPr>
          <w:rFonts w:ascii="Times New Roman" w:eastAsia="Calibri" w:hAnsi="Times New Roman" w:cs="Times New Roman"/>
          <w:i/>
          <w:sz w:val="24"/>
          <w:szCs w:val="24"/>
        </w:rPr>
        <w:t>Europe’s</w:t>
      </w:r>
      <w:proofErr w:type="spellEnd"/>
      <w:r w:rsidRPr="00AA0F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A0F8C">
        <w:rPr>
          <w:rFonts w:ascii="Times New Roman" w:eastAsia="Calibri" w:hAnsi="Times New Roman" w:cs="Times New Roman"/>
          <w:i/>
          <w:sz w:val="24"/>
          <w:szCs w:val="24"/>
        </w:rPr>
        <w:t>Forests</w:t>
      </w:r>
      <w:proofErr w:type="spellEnd"/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kiadványok (</w:t>
      </w:r>
      <w:hyperlink r:id="rId7" w:history="1">
        <w:r w:rsidRPr="00AA0F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https://foresteurope.org/wp-content/uploads/2016/08/SoEF_2020.pdf</w:t>
        </w:r>
      </w:hyperlink>
      <w:r w:rsidRPr="00AA0F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Időszerűség </w:t>
      </w:r>
      <w:r w:rsidRPr="00AA0F8C">
        <w:rPr>
          <w:rFonts w:ascii="Times New Roman" w:eastAsia="Calibri" w:hAnsi="Times New Roman" w:cs="Times New Roman"/>
          <w:sz w:val="24"/>
          <w:szCs w:val="24"/>
        </w:rPr>
        <w:t>az adatok tárgyévet követő fél évre érhetők el.</w:t>
      </w:r>
    </w:p>
    <w:p w:rsidR="00AA0F8C" w:rsidRPr="00AA0F8C" w:rsidRDefault="00AA0F8C" w:rsidP="00AA0F8C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 xml:space="preserve">Revíziós politika és gyakorlat: </w:t>
      </w:r>
      <w:r w:rsidRPr="00AA0F8C">
        <w:rPr>
          <w:rFonts w:ascii="Times New Roman" w:eastAsia="Calibri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>Koherencia és összehasonlíthatóság: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F8C" w:rsidRPr="00AA0F8C" w:rsidRDefault="00AA0F8C" w:rsidP="00AA0F8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>Az állami erdőgazdaságokra vonatkozóan az idősor konzisztens, hiszen sem az adatszolgáltatókban, sem a mintavételezési módszerekben nem volt változás. A mintavételi eljárás 2020. évi változtatása tette lehetővé az egyéb szektorba tartozó erdőgazdálkodóktól nyert adatokból az adott szektorra vonatkozó becslést.</w:t>
      </w:r>
    </w:p>
    <w:p w:rsidR="00AA0F8C" w:rsidRPr="00AA0F8C" w:rsidRDefault="00AA0F8C" w:rsidP="00AA0F8C">
      <w:pPr>
        <w:tabs>
          <w:tab w:val="left" w:pos="8505"/>
        </w:tabs>
        <w:spacing w:before="100" w:beforeAutospacing="1" w:after="100" w:afterAutospacing="1" w:line="276" w:lineRule="auto"/>
        <w:ind w:left="720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F8C" w:rsidRPr="00AA0F8C" w:rsidRDefault="00AA0F8C" w:rsidP="00AA0F8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t>Fontosabb fogalmak, módszertani kérdések: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F8C" w:rsidRPr="00AA0F8C" w:rsidRDefault="00AA0F8C" w:rsidP="00AA0F8C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8C">
        <w:rPr>
          <w:rFonts w:ascii="Times New Roman" w:eastAsia="Calibri" w:hAnsi="Times New Roman" w:cs="Times New Roman"/>
          <w:b/>
          <w:sz w:val="24"/>
          <w:szCs w:val="24"/>
        </w:rPr>
        <w:t>1981 és 2009 között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a mintába az állami erdőgazdaságokon kívül faipari cégek, ill. jelentősebb faipari tevékenységet is folytató erdőgazdálkodók kerültek.</w:t>
      </w:r>
    </w:p>
    <w:p w:rsidR="00AA0F8C" w:rsidRPr="00AA0F8C" w:rsidRDefault="00AA0F8C" w:rsidP="00AA0F8C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8C">
        <w:rPr>
          <w:rFonts w:ascii="Times New Roman" w:eastAsia="Calibri" w:hAnsi="Times New Roman" w:cs="Times New Roman"/>
          <w:b/>
          <w:sz w:val="24"/>
          <w:szCs w:val="24"/>
        </w:rPr>
        <w:t>2010-től</w:t>
      </w:r>
      <w:r w:rsidRPr="00AA0F8C">
        <w:rPr>
          <w:rFonts w:ascii="Times New Roman" w:eastAsia="Calibri" w:hAnsi="Times New Roman" w:cs="Times New Roman"/>
          <w:sz w:val="24"/>
          <w:szCs w:val="24"/>
        </w:rPr>
        <w:t xml:space="preserve"> kezdődően a faipari cégekre vonatkozó adatgyűjtés megszűnt. </w:t>
      </w:r>
    </w:p>
    <w:p w:rsidR="00AA0F8C" w:rsidRPr="00AA0F8C" w:rsidRDefault="00AA0F8C" w:rsidP="00AA0F8C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F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2017-től </w:t>
      </w:r>
      <w:r w:rsidRPr="00AA0F8C">
        <w:rPr>
          <w:rFonts w:ascii="Times New Roman" w:eastAsia="Calibri" w:hAnsi="Times New Roman" w:cs="Times New Roman"/>
          <w:sz w:val="24"/>
          <w:szCs w:val="24"/>
        </w:rPr>
        <w:t>a mintavételezés az OSAP 1257 számú adatgyűjtésnél leírt módon változott. Az adatok értelmezéséhez szükséges tudnivalókat szintén ott részletezzük.</w:t>
      </w:r>
    </w:p>
    <w:p w:rsidR="00AA0F8C" w:rsidRPr="00AA0F8C" w:rsidRDefault="00AA0F8C" w:rsidP="00AA0F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0F8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253D" w:rsidRDefault="00B1253D"/>
    <w:sectPr w:rsidR="00B1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2D26"/>
    <w:multiLevelType w:val="multilevel"/>
    <w:tmpl w:val="97B69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596B3572"/>
    <w:multiLevelType w:val="hybridMultilevel"/>
    <w:tmpl w:val="CDE8D4F8"/>
    <w:lvl w:ilvl="0" w:tplc="5B8697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C"/>
    <w:rsid w:val="00AA0F8C"/>
    <w:rsid w:val="00B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BDC4-8519-46E9-A45C-F56CA7F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esteurope.org/wp-content/uploads/2016/08/SoEF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arstatisztika.kormany.hu/erdogazdalkodas2" TargetMode="External"/><Relationship Id="rId5" Type="http://schemas.openxmlformats.org/officeDocument/2006/relationships/hyperlink" Target="mailto:osap-erdeszet@nfk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Szilvia</dc:creator>
  <cp:keywords/>
  <dc:description/>
  <cp:lastModifiedBy>Reiter Szilvia</cp:lastModifiedBy>
  <cp:revision>1</cp:revision>
  <dcterms:created xsi:type="dcterms:W3CDTF">2023-12-11T15:04:00Z</dcterms:created>
  <dcterms:modified xsi:type="dcterms:W3CDTF">2023-12-11T15:05:00Z</dcterms:modified>
</cp:coreProperties>
</file>