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3.xml" ContentType="application/vnd.openxmlformats-officedocument.themeOverride+xml"/>
  <Override PartName="/word/charts/chart4.xml" ContentType="application/vnd.openxmlformats-officedocument.drawingml.chart+xml"/>
  <Override PartName="/word/theme/themeOverride4.xml" ContentType="application/vnd.openxmlformats-officedocument.themeOverride+xml"/>
  <Override PartName="/word/charts/chart5.xml" ContentType="application/vnd.openxmlformats-officedocument.drawingml.chart+xml"/>
  <Override PartName="/word/theme/themeOverride5.xml" ContentType="application/vnd.openxmlformats-officedocument.themeOverride+xml"/>
  <Override PartName="/word/charts/chart6.xml" ContentType="application/vnd.openxmlformats-officedocument.drawingml.chart+xml"/>
  <Override PartName="/word/theme/themeOverride6.xml" ContentType="application/vnd.openxmlformats-officedocument.themeOverride+xml"/>
  <Override PartName="/word/charts/chart7.xml" ContentType="application/vnd.openxmlformats-officedocument.drawingml.chart+xml"/>
  <Override PartName="/word/theme/themeOverride7.xml" ContentType="application/vnd.openxmlformats-officedocument.themeOverride+xml"/>
  <Override PartName="/word/charts/chart8.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8.xml" ContentType="application/vnd.openxmlformats-officedocument.themeOverride+xml"/>
  <Override PartName="/word/charts/chart9.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9.xml" ContentType="application/vnd.openxmlformats-officedocument.themeOverride+xml"/>
  <Override PartName="/word/charts/chart10.xml" ContentType="application/vnd.openxmlformats-officedocument.drawingml.chart+xml"/>
  <Override PartName="/word/charts/style4.xml" ContentType="application/vnd.ms-office.chartstyle+xml"/>
  <Override PartName="/word/charts/colors4.xml" ContentType="application/vnd.ms-office.chartcolorstyle+xml"/>
  <Override PartName="/word/theme/themeOverride10.xml" ContentType="application/vnd.openxmlformats-officedocument.themeOverride+xml"/>
  <Override PartName="/word/charts/chart11.xml" ContentType="application/vnd.openxmlformats-officedocument.drawingml.chart+xml"/>
  <Override PartName="/word/charts/style5.xml" ContentType="application/vnd.ms-office.chartstyle+xml"/>
  <Override PartName="/word/charts/colors5.xml" ContentType="application/vnd.ms-office.chartcolorstyle+xml"/>
  <Override PartName="/word/theme/themeOverride11.xml" ContentType="application/vnd.openxmlformats-officedocument.themeOverride+xml"/>
  <Override PartName="/word/charts/chart12.xml" ContentType="application/vnd.openxmlformats-officedocument.drawingml.chart+xml"/>
  <Override PartName="/word/theme/themeOverride12.xml" ContentType="application/vnd.openxmlformats-officedocument.themeOverride+xml"/>
  <Override PartName="/word/charts/chart13.xml" ContentType="application/vnd.openxmlformats-officedocument.drawingml.chart+xml"/>
  <Override PartName="/word/theme/themeOverride13.xml" ContentType="application/vnd.openxmlformats-officedocument.themeOverride+xml"/>
  <Override PartName="/word/charts/chart14.xml" ContentType="application/vnd.openxmlformats-officedocument.drawingml.chart+xml"/>
  <Override PartName="/word/charts/style6.xml" ContentType="application/vnd.ms-office.chartstyle+xml"/>
  <Override PartName="/word/charts/colors6.xml" ContentType="application/vnd.ms-office.chartcolorstyle+xml"/>
  <Override PartName="/word/theme/themeOverride14.xml" ContentType="application/vnd.openxmlformats-officedocument.themeOverride+xml"/>
  <Override PartName="/word/charts/chart15.xml" ContentType="application/vnd.openxmlformats-officedocument.drawingml.chart+xml"/>
  <Override PartName="/word/charts/style7.xml" ContentType="application/vnd.ms-office.chartstyle+xml"/>
  <Override PartName="/word/charts/colors7.xml" ContentType="application/vnd.ms-office.chartcolorstyle+xml"/>
  <Override PartName="/word/theme/themeOverride15.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613D4" w14:textId="2DCD1236" w:rsidR="00570865" w:rsidRPr="009E3828" w:rsidRDefault="00BA13B5" w:rsidP="00570865">
      <w:pPr>
        <w:rPr>
          <w:b/>
          <w:sz w:val="28"/>
          <w:szCs w:val="28"/>
        </w:rPr>
      </w:pPr>
      <w:bookmarkStart w:id="0" w:name="_GoBack"/>
      <w:bookmarkEnd w:id="0"/>
      <w:r>
        <w:rPr>
          <w:b/>
          <w:sz w:val="28"/>
          <w:szCs w:val="28"/>
        </w:rPr>
        <w:t>A</w:t>
      </w:r>
      <w:r w:rsidR="00F21317" w:rsidRPr="009E3828">
        <w:rPr>
          <w:b/>
          <w:sz w:val="28"/>
          <w:szCs w:val="28"/>
        </w:rPr>
        <w:t xml:space="preserve">z </w:t>
      </w:r>
      <w:r w:rsidR="00150C73" w:rsidRPr="009E3828">
        <w:rPr>
          <w:b/>
          <w:sz w:val="28"/>
          <w:szCs w:val="28"/>
        </w:rPr>
        <w:t>agrárfinanszírozás aktuális helyzete</w:t>
      </w:r>
      <w:r w:rsidR="007100D3" w:rsidRPr="009E3828">
        <w:rPr>
          <w:b/>
          <w:sz w:val="28"/>
          <w:szCs w:val="28"/>
        </w:rPr>
        <w:t xml:space="preserve"> az </w:t>
      </w:r>
      <w:r w:rsidR="00705C62">
        <w:rPr>
          <w:b/>
          <w:sz w:val="28"/>
          <w:szCs w:val="28"/>
        </w:rPr>
        <w:t>A</w:t>
      </w:r>
      <w:r w:rsidR="007100D3" w:rsidRPr="009E3828">
        <w:rPr>
          <w:b/>
          <w:sz w:val="28"/>
          <w:szCs w:val="28"/>
        </w:rPr>
        <w:t xml:space="preserve">M </w:t>
      </w:r>
      <w:r w:rsidR="00D81EFB">
        <w:rPr>
          <w:b/>
          <w:sz w:val="28"/>
          <w:szCs w:val="28"/>
        </w:rPr>
        <w:t>hitelezési adatai</w:t>
      </w:r>
      <w:r w:rsidR="007100D3" w:rsidRPr="009E3828">
        <w:rPr>
          <w:b/>
          <w:sz w:val="28"/>
          <w:szCs w:val="28"/>
        </w:rPr>
        <w:t xml:space="preserve"> alapján</w:t>
      </w:r>
    </w:p>
    <w:p w14:paraId="19E37838" w14:textId="2CBC2FF6" w:rsidR="00F21317" w:rsidRDefault="00570865" w:rsidP="00EC7562">
      <w:r w:rsidRPr="009E3828">
        <w:t>(</w:t>
      </w:r>
      <w:r w:rsidR="008C19B6" w:rsidRPr="009E3828">
        <w:t>20</w:t>
      </w:r>
      <w:r w:rsidR="009309D0">
        <w:t>2</w:t>
      </w:r>
      <w:r w:rsidR="00D735AD">
        <w:t>4</w:t>
      </w:r>
      <w:r w:rsidR="008C19B6" w:rsidRPr="009E3828">
        <w:t xml:space="preserve">. </w:t>
      </w:r>
      <w:r w:rsidR="00B61013">
        <w:t>I</w:t>
      </w:r>
      <w:r w:rsidR="00041756">
        <w:t>V</w:t>
      </w:r>
      <w:r w:rsidR="0051402B">
        <w:t>. negyedév</w:t>
      </w:r>
      <w:r w:rsidRPr="009E3828">
        <w:t>)</w:t>
      </w:r>
    </w:p>
    <w:p w14:paraId="7C8D564C" w14:textId="77777777" w:rsidR="00D81EFB" w:rsidRDefault="00D81EFB" w:rsidP="00822828">
      <w:pPr>
        <w:spacing w:after="120"/>
        <w:jc w:val="both"/>
        <w:rPr>
          <w:b/>
        </w:rPr>
      </w:pPr>
    </w:p>
    <w:p w14:paraId="69555197" w14:textId="78C643C3" w:rsidR="00471212" w:rsidRDefault="00D81EFB" w:rsidP="00822828">
      <w:pPr>
        <w:spacing w:after="120"/>
        <w:jc w:val="both"/>
        <w:rPr>
          <w:b/>
        </w:rPr>
      </w:pPr>
      <w:r>
        <w:rPr>
          <w:b/>
        </w:rPr>
        <w:t>Az Agrárminisztérium 2024</w:t>
      </w:r>
      <w:r w:rsidR="00DF701B">
        <w:rPr>
          <w:b/>
        </w:rPr>
        <w:t xml:space="preserve"> </w:t>
      </w:r>
      <w:r>
        <w:rPr>
          <w:b/>
        </w:rPr>
        <w:t xml:space="preserve">I. negyedévétől a korábbi kérdőíves adatgyűjtést felváltva másodlagos adatforrásból, a Magyar Nemzeti Bank Hitelregiszteréből állítja elő az agrárhitelezési statisztikát. Ezt a változást alapos előkészítés, módszertani fejlesztés és minőség-ellenőrzés előzte meg, ennek ellenére elkerülhetetlen, hogy kisebb törés legyen az idősorban. Ezért az új adatforrás szerinti adatokat 2023. I. negyedévéig visszamenőleg is publikáljuk, ennek köszönhetően lehetővé válik az éves összehasonlítás. </w:t>
      </w:r>
    </w:p>
    <w:p w14:paraId="31CAA2CE" w14:textId="1E47B923" w:rsidR="0017048D" w:rsidRDefault="00497D8C" w:rsidP="00822828">
      <w:pPr>
        <w:spacing w:after="120"/>
        <w:jc w:val="both"/>
      </w:pPr>
      <w:r w:rsidRPr="009E3828">
        <w:rPr>
          <w:b/>
        </w:rPr>
        <w:t>A</w:t>
      </w:r>
      <w:r w:rsidR="00E90DC8" w:rsidRPr="009E3828">
        <w:rPr>
          <w:b/>
        </w:rPr>
        <w:t xml:space="preserve">z </w:t>
      </w:r>
      <w:r w:rsidR="00841209" w:rsidRPr="009E3828">
        <w:rPr>
          <w:b/>
        </w:rPr>
        <w:t xml:space="preserve">agrárgazdaság egyéni és társas vállalkozásainak </w:t>
      </w:r>
      <w:r w:rsidR="00841209" w:rsidRPr="009E3828">
        <w:t>(mezőgazdasági és élelmiszeripar összesen)</w:t>
      </w:r>
      <w:r w:rsidR="00841209" w:rsidRPr="009E3828">
        <w:rPr>
          <w:b/>
        </w:rPr>
        <w:t xml:space="preserve"> hitelállománya</w:t>
      </w:r>
      <w:r w:rsidR="00E90DC8" w:rsidRPr="009E3828">
        <w:rPr>
          <w:b/>
        </w:rPr>
        <w:t xml:space="preserve"> </w:t>
      </w:r>
      <w:r w:rsidR="00F16DD4" w:rsidRPr="009E3828">
        <w:t>20</w:t>
      </w:r>
      <w:r w:rsidR="00E81311">
        <w:t>2</w:t>
      </w:r>
      <w:r w:rsidR="00C158F2">
        <w:t>4</w:t>
      </w:r>
      <w:r w:rsidR="00F16DD4" w:rsidRPr="009E3828">
        <w:t xml:space="preserve">. </w:t>
      </w:r>
      <w:r w:rsidR="00222081">
        <w:t>I</w:t>
      </w:r>
      <w:r w:rsidR="00041756">
        <w:t>V</w:t>
      </w:r>
      <w:r w:rsidR="00F16DD4" w:rsidRPr="009E3828">
        <w:t>. negyedév végé</w:t>
      </w:r>
      <w:r w:rsidR="005D1F57">
        <w:t xml:space="preserve">n </w:t>
      </w:r>
      <w:r w:rsidR="00B0410C">
        <w:rPr>
          <w:b/>
        </w:rPr>
        <w:t>1</w:t>
      </w:r>
      <w:r w:rsidR="00041756">
        <w:rPr>
          <w:b/>
        </w:rPr>
        <w:t> 804,2</w:t>
      </w:r>
      <w:r w:rsidR="00A668D7" w:rsidRPr="00A668D7">
        <w:rPr>
          <w:b/>
        </w:rPr>
        <w:t xml:space="preserve"> milli</w:t>
      </w:r>
      <w:r w:rsidR="000A07C9">
        <w:rPr>
          <w:b/>
        </w:rPr>
        <w:t>árd</w:t>
      </w:r>
      <w:r w:rsidR="00A668D7" w:rsidRPr="00A668D7">
        <w:rPr>
          <w:b/>
        </w:rPr>
        <w:t xml:space="preserve"> forint</w:t>
      </w:r>
      <w:r w:rsidR="00195895">
        <w:t xml:space="preserve"> volt</w:t>
      </w:r>
      <w:r w:rsidR="00A668D7">
        <w:t xml:space="preserve">. </w:t>
      </w:r>
      <w:r w:rsidR="00EA7E58">
        <w:t>A teljes hitelállomány</w:t>
      </w:r>
      <w:r w:rsidR="009F426D">
        <w:t xml:space="preserve"> </w:t>
      </w:r>
      <w:r w:rsidR="00041756">
        <w:t xml:space="preserve">az előző </w:t>
      </w:r>
      <w:r w:rsidR="00EA7E58" w:rsidRPr="009E3828">
        <w:t>negyedév</w:t>
      </w:r>
      <w:r w:rsidR="007C2BDA">
        <w:t xml:space="preserve">hez </w:t>
      </w:r>
      <w:r w:rsidR="006D3782">
        <w:t xml:space="preserve">viszonyítva </w:t>
      </w:r>
      <w:r w:rsidR="00041756">
        <w:t>nőtt 1,3</w:t>
      </w:r>
      <w:r w:rsidR="00736212">
        <w:t>%</w:t>
      </w:r>
      <w:r w:rsidR="00041756">
        <w:t>-kal nőtt</w:t>
      </w:r>
      <w:r w:rsidR="006D3782">
        <w:t>, éves összehasonlításban</w:t>
      </w:r>
      <w:r w:rsidR="007C2BDA">
        <w:t xml:space="preserve"> </w:t>
      </w:r>
      <w:r w:rsidR="00041756">
        <w:t xml:space="preserve">pedig minimálisan, </w:t>
      </w:r>
      <w:r w:rsidR="006D3782">
        <w:t>-</w:t>
      </w:r>
      <w:r w:rsidR="00041756">
        <w:t>0,1</w:t>
      </w:r>
      <w:r w:rsidR="007C2BDA">
        <w:t>%</w:t>
      </w:r>
      <w:r w:rsidR="00041756">
        <w:t>-kal, de csökkent.</w:t>
      </w:r>
    </w:p>
    <w:p w14:paraId="087223C8" w14:textId="5B509B1F" w:rsidR="00132654" w:rsidRDefault="00364F88" w:rsidP="00F64A27">
      <w:pPr>
        <w:pStyle w:val="Kpalrs"/>
        <w:numPr>
          <w:ilvl w:val="0"/>
          <w:numId w:val="15"/>
        </w:numPr>
        <w:spacing w:after="0"/>
      </w:pPr>
      <w:r w:rsidRPr="00E71ACF">
        <w:t>ábra: Az agrárgazdaság hitelállományának megoszlása</w:t>
      </w:r>
      <w:r w:rsidR="00597964">
        <w:t xml:space="preserve"> főtevékenység és gazdálkodási forma szerint</w:t>
      </w:r>
    </w:p>
    <w:p w14:paraId="1DD36E86" w14:textId="677B2DD3" w:rsidR="00364F88" w:rsidRPr="009E3828" w:rsidRDefault="00C42CAC" w:rsidP="00FA58D3">
      <w:pPr>
        <w:pStyle w:val="Kpalrs"/>
        <w:spacing w:after="0"/>
      </w:pPr>
      <w:r>
        <w:t>(</w:t>
      </w:r>
      <w:r w:rsidR="00364F88" w:rsidRPr="00E71ACF">
        <w:t>20</w:t>
      </w:r>
      <w:r w:rsidR="006F6716">
        <w:t>2</w:t>
      </w:r>
      <w:r w:rsidR="00C158F2">
        <w:t>4</w:t>
      </w:r>
      <w:r w:rsidR="00364F88" w:rsidRPr="00E71ACF">
        <w:t xml:space="preserve">. </w:t>
      </w:r>
      <w:r w:rsidR="00D82C90">
        <w:t>I</w:t>
      </w:r>
      <w:r w:rsidR="00041756">
        <w:t>V</w:t>
      </w:r>
      <w:r w:rsidR="00132654">
        <w:t>. negyedév</w:t>
      </w:r>
      <w:r>
        <w:t>)</w:t>
      </w:r>
    </w:p>
    <w:p w14:paraId="5343CD5D" w14:textId="77777777" w:rsidR="00364F88" w:rsidRPr="009E3828" w:rsidRDefault="00364F88" w:rsidP="001D2D8C">
      <w:pPr>
        <w:spacing w:after="240"/>
        <w:rPr>
          <w:b/>
        </w:rPr>
      </w:pPr>
      <w:r w:rsidRPr="009E3828">
        <w:rPr>
          <w:b/>
          <w:noProof/>
          <w:lang w:eastAsia="hu-HU"/>
        </w:rPr>
        <w:drawing>
          <wp:inline distT="0" distB="0" distL="0" distR="0" wp14:anchorId="79FE5D37" wp14:editId="2BA228B3">
            <wp:extent cx="6007100" cy="2012950"/>
            <wp:effectExtent l="0" t="5715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2625BA1" w14:textId="5405FAE1" w:rsidR="0017048D" w:rsidRDefault="0036103F" w:rsidP="00AA083C">
      <w:pPr>
        <w:spacing w:after="120"/>
        <w:jc w:val="both"/>
      </w:pPr>
      <w:r>
        <w:t>A</w:t>
      </w:r>
      <w:r w:rsidR="0017048D">
        <w:t xml:space="preserve"> mezőgazdasági</w:t>
      </w:r>
      <w:r>
        <w:t xml:space="preserve"> hitelállomány </w:t>
      </w:r>
      <w:r w:rsidR="00041756">
        <w:t xml:space="preserve">éves (-0,9%) és </w:t>
      </w:r>
      <w:r>
        <w:t>negyedéves</w:t>
      </w:r>
      <w:r w:rsidR="00041756">
        <w:t xml:space="preserve"> (-1,2%)</w:t>
      </w:r>
      <w:r>
        <w:t xml:space="preserve"> szinten </w:t>
      </w:r>
      <w:r w:rsidR="009B359F">
        <w:t>egyaránt csökkent.</w:t>
      </w:r>
      <w:r w:rsidR="00041756">
        <w:t xml:space="preserve"> </w:t>
      </w:r>
      <w:r w:rsidR="009B359F">
        <w:t xml:space="preserve">2024-ben III. </w:t>
      </w:r>
      <w:r w:rsidR="001A1138">
        <w:t>és</w:t>
      </w:r>
      <w:r w:rsidR="009B359F">
        <w:t xml:space="preserve"> IV. negyedévben </w:t>
      </w:r>
      <w:r w:rsidR="001A1138">
        <w:t xml:space="preserve">is </w:t>
      </w:r>
      <w:r w:rsidR="009B359F">
        <w:t>csökkenést mutatott az ágazati hitelállomány, a 2024. II. negyedévi 1 072,3 milliárdról az év végére 1 048,2 milliárdra</w:t>
      </w:r>
      <w:r w:rsidR="001A1138">
        <w:t>, vagyis -24,1 milliárddal</w:t>
      </w:r>
      <w:r w:rsidR="009B359F">
        <w:t xml:space="preserve"> szűkült. </w:t>
      </w:r>
      <w:r w:rsidR="00732374">
        <w:t>A</w:t>
      </w:r>
      <w:r w:rsidR="0017048D">
        <w:t xml:space="preserve">z élelmiszeripari hitelállomány </w:t>
      </w:r>
      <w:r w:rsidR="00616FE9">
        <w:t>negyedéves</w:t>
      </w:r>
      <w:r w:rsidR="004F20E0">
        <w:t xml:space="preserve"> </w:t>
      </w:r>
      <w:r w:rsidR="00616FE9">
        <w:t>szinten</w:t>
      </w:r>
      <w:r w:rsidR="009B359F">
        <w:t xml:space="preserve"> ismét </w:t>
      </w:r>
      <w:r w:rsidR="00C836BB">
        <w:t>növeked</w:t>
      </w:r>
      <w:r w:rsidR="009B359F">
        <w:t>ett (+4,8%)</w:t>
      </w:r>
      <w:r w:rsidR="001A1138">
        <w:t>, éves szinten pedig</w:t>
      </w:r>
      <w:r w:rsidR="009B359F">
        <w:t xml:space="preserve"> az előző negyedév </w:t>
      </w:r>
      <w:r w:rsidR="00C836BB">
        <w:t>-4,9%-os csökkenés</w:t>
      </w:r>
      <w:r w:rsidR="001A1138">
        <w:t>éhez képest 0,9%-os emelkedést tapasztalhattunk, ami egy nagyobb mértékű, 5,8 százalékpontos bővülést jelent.</w:t>
      </w:r>
    </w:p>
    <w:p w14:paraId="54BA6C55" w14:textId="68B0A7DD" w:rsidR="0017048D" w:rsidRDefault="0017048D" w:rsidP="00F64A27">
      <w:pPr>
        <w:pStyle w:val="Kpalrs"/>
        <w:numPr>
          <w:ilvl w:val="0"/>
          <w:numId w:val="15"/>
        </w:numPr>
        <w:spacing w:after="0"/>
        <w:rPr>
          <w:b w:val="0"/>
          <w:bCs w:val="0"/>
        </w:rPr>
      </w:pPr>
      <w:r w:rsidRPr="0017048D">
        <w:t>ábra</w:t>
      </w:r>
      <w:r>
        <w:t>: Az agrárgazdaság hitelállomány</w:t>
      </w:r>
      <w:r w:rsidR="00DD518E">
        <w:t>a</w:t>
      </w:r>
      <w:r w:rsidR="00800FB0">
        <w:t xml:space="preserve"> ágazatok szerint, negyedévenként</w:t>
      </w:r>
    </w:p>
    <w:p w14:paraId="0EE0DA22" w14:textId="259F3C67" w:rsidR="00800FB0" w:rsidRDefault="00800FB0" w:rsidP="001538B2">
      <w:pPr>
        <w:rPr>
          <w:b/>
          <w:bCs/>
          <w:color w:val="4F81BD" w:themeColor="accent1"/>
          <w:sz w:val="18"/>
          <w:szCs w:val="18"/>
        </w:rPr>
      </w:pPr>
      <w:r>
        <w:rPr>
          <w:b/>
          <w:bCs/>
          <w:color w:val="4F81BD" w:themeColor="accent1"/>
          <w:sz w:val="18"/>
          <w:szCs w:val="18"/>
        </w:rPr>
        <w:t>(20</w:t>
      </w:r>
      <w:r w:rsidR="00C158F2">
        <w:rPr>
          <w:b/>
          <w:bCs/>
          <w:color w:val="4F81BD" w:themeColor="accent1"/>
          <w:sz w:val="18"/>
          <w:szCs w:val="18"/>
        </w:rPr>
        <w:t>23</w:t>
      </w:r>
      <w:r>
        <w:rPr>
          <w:b/>
          <w:bCs/>
          <w:color w:val="4F81BD" w:themeColor="accent1"/>
          <w:sz w:val="18"/>
          <w:szCs w:val="18"/>
        </w:rPr>
        <w:t xml:space="preserve">. </w:t>
      </w:r>
      <w:r w:rsidR="00A1667A">
        <w:rPr>
          <w:b/>
          <w:bCs/>
          <w:color w:val="4F81BD" w:themeColor="accent1"/>
          <w:sz w:val="18"/>
          <w:szCs w:val="18"/>
        </w:rPr>
        <w:t>I</w:t>
      </w:r>
      <w:r>
        <w:rPr>
          <w:b/>
          <w:bCs/>
          <w:color w:val="4F81BD" w:themeColor="accent1"/>
          <w:sz w:val="18"/>
          <w:szCs w:val="18"/>
        </w:rPr>
        <w:t>. – 202</w:t>
      </w:r>
      <w:r w:rsidR="00C158F2">
        <w:rPr>
          <w:b/>
          <w:bCs/>
          <w:color w:val="4F81BD" w:themeColor="accent1"/>
          <w:sz w:val="18"/>
          <w:szCs w:val="18"/>
        </w:rPr>
        <w:t>4</w:t>
      </w:r>
      <w:r>
        <w:rPr>
          <w:b/>
          <w:bCs/>
          <w:color w:val="4F81BD" w:themeColor="accent1"/>
          <w:sz w:val="18"/>
          <w:szCs w:val="18"/>
        </w:rPr>
        <w:t xml:space="preserve">. </w:t>
      </w:r>
      <w:r w:rsidR="008870F3">
        <w:rPr>
          <w:b/>
          <w:bCs/>
          <w:color w:val="4F81BD" w:themeColor="accent1"/>
          <w:sz w:val="18"/>
          <w:szCs w:val="18"/>
        </w:rPr>
        <w:t>I</w:t>
      </w:r>
      <w:r w:rsidR="009B359F">
        <w:rPr>
          <w:b/>
          <w:bCs/>
          <w:color w:val="4F81BD" w:themeColor="accent1"/>
          <w:sz w:val="18"/>
          <w:szCs w:val="18"/>
        </w:rPr>
        <w:t>V</w:t>
      </w:r>
      <w:r>
        <w:rPr>
          <w:b/>
          <w:bCs/>
          <w:color w:val="4F81BD" w:themeColor="accent1"/>
          <w:sz w:val="18"/>
          <w:szCs w:val="18"/>
        </w:rPr>
        <w:t>.)</w:t>
      </w:r>
    </w:p>
    <w:p w14:paraId="4D4E8D0C" w14:textId="3CF0B75A" w:rsidR="00DF701B" w:rsidRDefault="001A1138" w:rsidP="001538B2">
      <w:pPr>
        <w:rPr>
          <w:b/>
          <w:bCs/>
          <w:color w:val="4F81BD" w:themeColor="accent1"/>
          <w:sz w:val="18"/>
          <w:szCs w:val="18"/>
        </w:rPr>
      </w:pPr>
      <w:r>
        <w:rPr>
          <w:noProof/>
          <w:lang w:eastAsia="hu-HU"/>
        </w:rPr>
        <w:drawing>
          <wp:inline distT="0" distB="0" distL="0" distR="0" wp14:anchorId="79B6C5B1" wp14:editId="32C8E8B2">
            <wp:extent cx="6120130" cy="2476500"/>
            <wp:effectExtent l="0" t="0" r="0" b="0"/>
            <wp:docPr id="2" name="Diagram 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6FD775" w14:textId="3218DAEB" w:rsidR="005A25F3" w:rsidRDefault="005A25F3" w:rsidP="00D53765">
      <w:pPr>
        <w:spacing w:after="120"/>
        <w:rPr>
          <w:b/>
          <w:bCs/>
          <w:color w:val="4F81BD" w:themeColor="accent1"/>
          <w:sz w:val="18"/>
          <w:szCs w:val="18"/>
        </w:rPr>
      </w:pPr>
    </w:p>
    <w:p w14:paraId="12B8CE27" w14:textId="71BAC394" w:rsidR="00D909BC" w:rsidRPr="00D909BC" w:rsidRDefault="00C52889" w:rsidP="00D909BC">
      <w:pPr>
        <w:spacing w:after="120"/>
        <w:jc w:val="both"/>
      </w:pPr>
      <w:r w:rsidRPr="00D909BC">
        <w:rPr>
          <w:bCs/>
        </w:rPr>
        <w:lastRenderedPageBreak/>
        <w:t>A</w:t>
      </w:r>
      <w:r w:rsidR="002A464C" w:rsidRPr="00D909BC">
        <w:rPr>
          <w:bCs/>
        </w:rPr>
        <w:t>z ágazat</w:t>
      </w:r>
      <w:r w:rsidR="005D2234" w:rsidRPr="00D909BC">
        <w:rPr>
          <w:bCs/>
        </w:rPr>
        <w:t>i</w:t>
      </w:r>
      <w:r w:rsidRPr="00D909BC">
        <w:rPr>
          <w:bCs/>
        </w:rPr>
        <w:t xml:space="preserve"> </w:t>
      </w:r>
      <w:r w:rsidR="009748D3" w:rsidRPr="00D909BC">
        <w:rPr>
          <w:bCs/>
        </w:rPr>
        <w:t>h</w:t>
      </w:r>
      <w:r w:rsidRPr="00D909BC">
        <w:rPr>
          <w:bCs/>
        </w:rPr>
        <w:t>itelállomány</w:t>
      </w:r>
      <w:r w:rsidR="005D2234" w:rsidRPr="00D909BC">
        <w:rPr>
          <w:bCs/>
        </w:rPr>
        <w:t>o</w:t>
      </w:r>
      <w:r w:rsidR="00A93E4F" w:rsidRPr="00D909BC">
        <w:rPr>
          <w:bCs/>
        </w:rPr>
        <w:t xml:space="preserve">k </w:t>
      </w:r>
      <w:r w:rsidR="00717F5D" w:rsidRPr="00D909BC">
        <w:rPr>
          <w:bCs/>
        </w:rPr>
        <w:t xml:space="preserve">egymáshoz viszonyított </w:t>
      </w:r>
      <w:r w:rsidR="00A93E4F" w:rsidRPr="00D909BC">
        <w:rPr>
          <w:bCs/>
        </w:rPr>
        <w:t>aránya</w:t>
      </w:r>
      <w:r w:rsidRPr="00D909BC">
        <w:rPr>
          <w:bCs/>
        </w:rPr>
        <w:t xml:space="preserve"> </w:t>
      </w:r>
      <w:r w:rsidR="003E195A">
        <w:rPr>
          <w:bCs/>
        </w:rPr>
        <w:t xml:space="preserve">továbbra is </w:t>
      </w:r>
      <w:r w:rsidR="00C20BCA" w:rsidRPr="00D909BC">
        <w:rPr>
          <w:bCs/>
        </w:rPr>
        <w:t xml:space="preserve">minimális mértékben </w:t>
      </w:r>
      <w:r w:rsidR="003E195A">
        <w:rPr>
          <w:bCs/>
        </w:rPr>
        <w:t>ingadozik.</w:t>
      </w:r>
      <w:r w:rsidR="000E011A" w:rsidRPr="00D909BC">
        <w:rPr>
          <w:bCs/>
        </w:rPr>
        <w:t xml:space="preserve"> </w:t>
      </w:r>
      <w:r w:rsidR="00C20BCA" w:rsidRPr="00D909BC">
        <w:rPr>
          <w:bCs/>
        </w:rPr>
        <w:t>Az új módszertan szerinti</w:t>
      </w:r>
      <w:r w:rsidR="00D909BC">
        <w:rPr>
          <w:bCs/>
        </w:rPr>
        <w:t>,</w:t>
      </w:r>
      <w:r w:rsidR="00C20BCA" w:rsidRPr="00D909BC">
        <w:rPr>
          <w:bCs/>
        </w:rPr>
        <w:t xml:space="preserve"> revideált negyedévenkénti adatok kiegyensúlyozottabb képet mutatnak, az arány a mezőgazdaság és az élelmiszeripar között szinte állandó</w:t>
      </w:r>
      <w:r w:rsidR="00C20BCA" w:rsidRPr="00D909BC">
        <w:t>.</w:t>
      </w:r>
    </w:p>
    <w:p w14:paraId="53165A15" w14:textId="56C9647E" w:rsidR="00BF3E32" w:rsidRDefault="00BF3E32" w:rsidP="00D909BC">
      <w:pPr>
        <w:pStyle w:val="Kpalrs"/>
        <w:numPr>
          <w:ilvl w:val="0"/>
          <w:numId w:val="15"/>
        </w:numPr>
        <w:spacing w:after="0"/>
        <w:rPr>
          <w:b w:val="0"/>
          <w:bCs w:val="0"/>
        </w:rPr>
      </w:pPr>
      <w:r w:rsidRPr="00BF3E32">
        <w:t>ábra</w:t>
      </w:r>
      <w:r>
        <w:t>: Az agrárgazdaság hitelállományának megoszlása nemzetgazdasági ágazatok szerint</w:t>
      </w:r>
    </w:p>
    <w:p w14:paraId="663B4C5D" w14:textId="79FC608B" w:rsidR="00DF701B" w:rsidRDefault="001D4D48" w:rsidP="00BF3E32">
      <w:pPr>
        <w:rPr>
          <w:b/>
          <w:bCs/>
          <w:color w:val="4F81BD" w:themeColor="accent1"/>
          <w:sz w:val="18"/>
          <w:szCs w:val="18"/>
        </w:rPr>
      </w:pPr>
      <w:r>
        <w:rPr>
          <w:b/>
          <w:bCs/>
          <w:color w:val="4F81BD" w:themeColor="accent1"/>
          <w:sz w:val="18"/>
          <w:szCs w:val="18"/>
        </w:rPr>
        <w:t>(20</w:t>
      </w:r>
      <w:r w:rsidR="00B070AA">
        <w:rPr>
          <w:b/>
          <w:bCs/>
          <w:color w:val="4F81BD" w:themeColor="accent1"/>
          <w:sz w:val="18"/>
          <w:szCs w:val="18"/>
        </w:rPr>
        <w:t>23</w:t>
      </w:r>
      <w:r w:rsidR="003335EA">
        <w:rPr>
          <w:b/>
          <w:bCs/>
          <w:color w:val="4F81BD" w:themeColor="accent1"/>
          <w:sz w:val="18"/>
          <w:szCs w:val="18"/>
        </w:rPr>
        <w:t xml:space="preserve">. I. - </w:t>
      </w:r>
      <w:r w:rsidR="00BF3E32">
        <w:rPr>
          <w:b/>
          <w:bCs/>
          <w:color w:val="4F81BD" w:themeColor="accent1"/>
          <w:sz w:val="18"/>
          <w:szCs w:val="18"/>
        </w:rPr>
        <w:t>20</w:t>
      </w:r>
      <w:r w:rsidR="00EC506E">
        <w:rPr>
          <w:b/>
          <w:bCs/>
          <w:color w:val="4F81BD" w:themeColor="accent1"/>
          <w:sz w:val="18"/>
          <w:szCs w:val="18"/>
        </w:rPr>
        <w:t>2</w:t>
      </w:r>
      <w:r w:rsidR="00B070AA">
        <w:rPr>
          <w:b/>
          <w:bCs/>
          <w:color w:val="4F81BD" w:themeColor="accent1"/>
          <w:sz w:val="18"/>
          <w:szCs w:val="18"/>
        </w:rPr>
        <w:t>4</w:t>
      </w:r>
      <w:r w:rsidR="00BF3E32">
        <w:rPr>
          <w:b/>
          <w:bCs/>
          <w:color w:val="4F81BD" w:themeColor="accent1"/>
          <w:sz w:val="18"/>
          <w:szCs w:val="18"/>
        </w:rPr>
        <w:t>. I</w:t>
      </w:r>
      <w:r w:rsidR="003E195A">
        <w:rPr>
          <w:b/>
          <w:bCs/>
          <w:color w:val="4F81BD" w:themeColor="accent1"/>
          <w:sz w:val="18"/>
          <w:szCs w:val="18"/>
        </w:rPr>
        <w:t>V</w:t>
      </w:r>
      <w:r w:rsidR="00BF3E32">
        <w:rPr>
          <w:b/>
          <w:bCs/>
          <w:color w:val="4F81BD" w:themeColor="accent1"/>
          <w:sz w:val="18"/>
          <w:szCs w:val="18"/>
        </w:rPr>
        <w:t>.</w:t>
      </w:r>
      <w:r w:rsidR="003335EA">
        <w:rPr>
          <w:b/>
          <w:bCs/>
          <w:color w:val="4F81BD" w:themeColor="accent1"/>
          <w:sz w:val="18"/>
          <w:szCs w:val="18"/>
        </w:rPr>
        <w:t>)</w:t>
      </w:r>
    </w:p>
    <w:p w14:paraId="1B8ACB8C" w14:textId="19E11C02" w:rsidR="00BF3E32" w:rsidRDefault="003E195A" w:rsidP="00BF3E32">
      <w:pPr>
        <w:rPr>
          <w:b/>
          <w:bCs/>
          <w:color w:val="4F81BD" w:themeColor="accent1"/>
          <w:sz w:val="18"/>
          <w:szCs w:val="18"/>
        </w:rPr>
      </w:pPr>
      <w:r w:rsidRPr="00A95C0C">
        <w:rPr>
          <w:b/>
          <w:noProof/>
          <w:lang w:eastAsia="hu-HU"/>
        </w:rPr>
        <w:drawing>
          <wp:inline distT="0" distB="0" distL="0" distR="0" wp14:anchorId="6BFC49F2" wp14:editId="41AAF34F">
            <wp:extent cx="6120130" cy="3397250"/>
            <wp:effectExtent l="0" t="0" r="0" b="0"/>
            <wp:docPr id="5" name="Diagram 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4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FB14358" w14:textId="31E7F283" w:rsidR="0052695E" w:rsidRDefault="0052695E" w:rsidP="00BF3E32">
      <w:pPr>
        <w:rPr>
          <w:b/>
          <w:bCs/>
          <w:color w:val="4F81BD" w:themeColor="accent1"/>
          <w:sz w:val="18"/>
          <w:szCs w:val="18"/>
        </w:rPr>
      </w:pPr>
    </w:p>
    <w:p w14:paraId="39A96B8B" w14:textId="77777777" w:rsidR="007A28F1" w:rsidRDefault="00443B28" w:rsidP="005B5C43">
      <w:pPr>
        <w:pStyle w:val="Listaszerbekezds"/>
        <w:numPr>
          <w:ilvl w:val="0"/>
          <w:numId w:val="9"/>
        </w:numPr>
        <w:spacing w:after="120"/>
        <w:jc w:val="both"/>
        <w:rPr>
          <w:b/>
        </w:rPr>
      </w:pPr>
      <w:r w:rsidRPr="00443B28">
        <w:rPr>
          <w:b/>
        </w:rPr>
        <w:t>Mezőgazdaság hitelállománya</w:t>
      </w:r>
    </w:p>
    <w:p w14:paraId="338F8B03" w14:textId="11518ED0" w:rsidR="00EA7E58" w:rsidRDefault="0031502B" w:rsidP="00AA083C">
      <w:pPr>
        <w:spacing w:after="120"/>
        <w:jc w:val="both"/>
      </w:pPr>
      <w:r>
        <w:t>A mezőgazdaság hitelállomány</w:t>
      </w:r>
      <w:r w:rsidR="006168F9">
        <w:t xml:space="preserve">a </w:t>
      </w:r>
      <w:r w:rsidR="00143792">
        <w:t>202</w:t>
      </w:r>
      <w:r w:rsidR="00785BE3">
        <w:t>4</w:t>
      </w:r>
      <w:r w:rsidR="00143792">
        <w:t xml:space="preserve"> </w:t>
      </w:r>
      <w:r w:rsidR="0052695E">
        <w:t>I</w:t>
      </w:r>
      <w:r w:rsidR="001E248F">
        <w:t>V</w:t>
      </w:r>
      <w:r w:rsidR="00143792">
        <w:t xml:space="preserve">. negyedévében </w:t>
      </w:r>
      <w:r w:rsidR="0052584E">
        <w:t xml:space="preserve">éves szinten </w:t>
      </w:r>
      <w:r w:rsidR="001805CA">
        <w:t>-</w:t>
      </w:r>
      <w:r w:rsidR="00707DA6">
        <w:t>0,</w:t>
      </w:r>
      <w:r w:rsidR="001E248F">
        <w:t>9</w:t>
      </w:r>
      <w:r w:rsidR="0052584E">
        <w:t xml:space="preserve">%-kal </w:t>
      </w:r>
      <w:r w:rsidR="001E248F">
        <w:t>csökkent</w:t>
      </w:r>
      <w:r w:rsidR="0052584E">
        <w:t xml:space="preserve"> (1</w:t>
      </w:r>
      <w:r w:rsidR="001E248F">
        <w:t> </w:t>
      </w:r>
      <w:r w:rsidR="00A93E4F">
        <w:t>0</w:t>
      </w:r>
      <w:r w:rsidR="001E248F">
        <w:t>48,2</w:t>
      </w:r>
      <w:r w:rsidR="0052584E">
        <w:t xml:space="preserve"> milliárd forint)</w:t>
      </w:r>
      <w:r w:rsidR="00707DA6">
        <w:t>.</w:t>
      </w:r>
      <w:r w:rsidR="0052584E">
        <w:t xml:space="preserve"> </w:t>
      </w:r>
      <w:r w:rsidR="00497449">
        <w:t>A</w:t>
      </w:r>
      <w:r w:rsidR="0052584E">
        <w:t>z</w:t>
      </w:r>
      <w:r w:rsidR="00E564F0">
        <w:t xml:space="preserve"> előző negyedév</w:t>
      </w:r>
      <w:r w:rsidR="004F09B8">
        <w:t xml:space="preserve">hez </w:t>
      </w:r>
      <w:r w:rsidR="00DF701B">
        <w:t xml:space="preserve">képest </w:t>
      </w:r>
      <w:r w:rsidR="00707DA6">
        <w:t>ez a csökkenés</w:t>
      </w:r>
      <w:r w:rsidR="00221901">
        <w:t xml:space="preserve"> </w:t>
      </w:r>
      <w:r w:rsidR="00707DA6">
        <w:t>-1,</w:t>
      </w:r>
      <w:r w:rsidR="001E248F">
        <w:t>2</w:t>
      </w:r>
      <w:r w:rsidR="00497449">
        <w:t>%</w:t>
      </w:r>
      <w:r w:rsidR="00707DA6">
        <w:t xml:space="preserve"> lett.</w:t>
      </w:r>
    </w:p>
    <w:p w14:paraId="2BEBACB6" w14:textId="2627C795" w:rsidR="00EC71B8" w:rsidRDefault="0059373B" w:rsidP="00AA083C">
      <w:pPr>
        <w:spacing w:after="120"/>
        <w:jc w:val="both"/>
      </w:pPr>
      <w:r>
        <w:t xml:space="preserve">Gazdálkodási formák szerint </w:t>
      </w:r>
      <w:r w:rsidR="00D1229D">
        <w:t xml:space="preserve">vizsgálva </w:t>
      </w:r>
      <w:r w:rsidR="006301E9">
        <w:t>az egyéni gazdaságok</w:t>
      </w:r>
      <w:r w:rsidR="00D1229D">
        <w:t xml:space="preserve"> hitelállománya negyed</w:t>
      </w:r>
      <w:r w:rsidR="00C95034">
        <w:t>éves összehasonlításban</w:t>
      </w:r>
      <w:r w:rsidR="00D1229D">
        <w:t xml:space="preserve"> szűkült (-2,0%), éves szinten viszont (+0,6%) emelkedett.</w:t>
      </w:r>
      <w:r w:rsidR="00C95034">
        <w:t xml:space="preserve"> </w:t>
      </w:r>
    </w:p>
    <w:p w14:paraId="138630CA" w14:textId="222C096E" w:rsidR="00C66B5B" w:rsidRDefault="00E71ACF" w:rsidP="00CE5E02">
      <w:pPr>
        <w:pStyle w:val="Kpalrs"/>
        <w:numPr>
          <w:ilvl w:val="0"/>
          <w:numId w:val="15"/>
        </w:numPr>
        <w:spacing w:after="0"/>
        <w:ind w:left="0" w:firstLine="0"/>
      </w:pPr>
      <w:r>
        <w:t>ábra: A m</w:t>
      </w:r>
      <w:r w:rsidR="00364F88" w:rsidRPr="00E71ACF">
        <w:t>ezőgazdaság</w:t>
      </w:r>
      <w:r>
        <w:t>i</w:t>
      </w:r>
      <w:r w:rsidR="00364F88" w:rsidRPr="00E71ACF">
        <w:t xml:space="preserve"> hitelállomány</w:t>
      </w:r>
      <w:r>
        <w:t xml:space="preserve"> </w:t>
      </w:r>
      <w:r w:rsidR="000A07C9">
        <w:t xml:space="preserve">gazdálkodási formák </w:t>
      </w:r>
      <w:r w:rsidR="001D4D48">
        <w:t>szerint (20</w:t>
      </w:r>
      <w:r w:rsidR="00B070AA">
        <w:t>23</w:t>
      </w:r>
      <w:r>
        <w:t>. I. – 20</w:t>
      </w:r>
      <w:r w:rsidR="006B5BD4">
        <w:t>2</w:t>
      </w:r>
      <w:r w:rsidR="00B070AA">
        <w:t>4</w:t>
      </w:r>
      <w:r>
        <w:t xml:space="preserve">. </w:t>
      </w:r>
      <w:r w:rsidR="0088792D">
        <w:t>I</w:t>
      </w:r>
      <w:r w:rsidR="008E01F7">
        <w:t>V</w:t>
      </w:r>
      <w:r>
        <w:t>.)</w:t>
      </w:r>
    </w:p>
    <w:p w14:paraId="315EE4C8" w14:textId="29888132" w:rsidR="00DD58BD" w:rsidRPr="00DD58BD" w:rsidRDefault="008E01F7" w:rsidP="00E55835">
      <w:r w:rsidRPr="00A95C0C">
        <w:rPr>
          <w:noProof/>
          <w:sz w:val="16"/>
          <w:szCs w:val="16"/>
          <w:lang w:eastAsia="hu-HU"/>
        </w:rPr>
        <w:drawing>
          <wp:inline distT="0" distB="0" distL="0" distR="0" wp14:anchorId="74D127E3" wp14:editId="043B2767">
            <wp:extent cx="6120130" cy="2598420"/>
            <wp:effectExtent l="0" t="0" r="0" b="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08C417" w14:textId="4DC163DD" w:rsidR="00CE5E02" w:rsidRDefault="00D909BC" w:rsidP="00D909BC">
      <w:pPr>
        <w:spacing w:after="120"/>
        <w:jc w:val="both"/>
      </w:pPr>
      <w:r>
        <w:t>A gazdasági szervezetek hitelállomány</w:t>
      </w:r>
      <w:r w:rsidR="00006F1E">
        <w:t>á</w:t>
      </w:r>
      <w:r w:rsidR="00D1229D">
        <w:t xml:space="preserve">nak korábbi növekvő tendenciája, még ha csekély mértékben is, de tartósan </w:t>
      </w:r>
      <w:r w:rsidR="00006F1E">
        <w:t>csökkenésbe fordult</w:t>
      </w:r>
      <w:r w:rsidR="00D1229D">
        <w:t xml:space="preserve"> (negyedév: -0,7%; éves: -1,6%)</w:t>
      </w:r>
      <w:r w:rsidR="00006F1E">
        <w:t xml:space="preserve">. </w:t>
      </w:r>
      <w:r w:rsidR="00D1229D">
        <w:t>A gazdálkodási formákat tekintve továbbra is elmondható, hogy a</w:t>
      </w:r>
      <w:r>
        <w:t xml:space="preserve"> hitelállomány </w:t>
      </w:r>
      <w:r w:rsidR="00731A53">
        <w:t xml:space="preserve">alakulásában </w:t>
      </w:r>
      <w:r w:rsidR="00D1229D">
        <w:t xml:space="preserve">jól </w:t>
      </w:r>
      <w:r w:rsidR="00731A53">
        <w:t>megfigyelhető</w:t>
      </w:r>
      <w:r>
        <w:t xml:space="preserve"> </w:t>
      </w:r>
      <w:r w:rsidR="004E2418">
        <w:t xml:space="preserve">az egyéni gazdálkodók és </w:t>
      </w:r>
      <w:r>
        <w:t xml:space="preserve">a gazdasági szervezetek </w:t>
      </w:r>
      <w:r w:rsidR="004E2418">
        <w:t xml:space="preserve">által </w:t>
      </w:r>
      <w:r w:rsidR="00F62B2C">
        <w:t xml:space="preserve">követett </w:t>
      </w:r>
      <w:r>
        <w:t xml:space="preserve">eltérő </w:t>
      </w:r>
      <w:r w:rsidR="002766DE">
        <w:t xml:space="preserve">finanszírozási </w:t>
      </w:r>
      <w:r>
        <w:t xml:space="preserve">és </w:t>
      </w:r>
      <w:r w:rsidR="002766DE">
        <w:t xml:space="preserve">piaci </w:t>
      </w:r>
      <w:r>
        <w:t>stratégia.</w:t>
      </w:r>
    </w:p>
    <w:p w14:paraId="44257655" w14:textId="77777777" w:rsidR="00210764" w:rsidRDefault="00D1127B" w:rsidP="0058253E">
      <w:pPr>
        <w:spacing w:after="120"/>
        <w:jc w:val="both"/>
      </w:pPr>
      <w:r>
        <w:lastRenderedPageBreak/>
        <w:t>A</w:t>
      </w:r>
      <w:r w:rsidR="00AF1B13">
        <w:t xml:space="preserve"> hitel</w:t>
      </w:r>
      <w:r>
        <w:t xml:space="preserve">fajták </w:t>
      </w:r>
      <w:r w:rsidR="0085667F">
        <w:t>közül éves szinten</w:t>
      </w:r>
      <w:r w:rsidR="00A101AC">
        <w:t xml:space="preserve"> </w:t>
      </w:r>
      <w:r w:rsidR="00A95C0C">
        <w:t>kifejezetten megugrott</w:t>
      </w:r>
      <w:r w:rsidR="0085667F">
        <w:t xml:space="preserve"> </w:t>
      </w:r>
      <w:r w:rsidR="0005239A">
        <w:t>a forint folyószámla hitelek n</w:t>
      </w:r>
      <w:r w:rsidR="00A101AC">
        <w:t>övekedése</w:t>
      </w:r>
      <w:r w:rsidR="00A95C0C">
        <w:t xml:space="preserve">, az eddig is </w:t>
      </w:r>
      <w:r w:rsidR="0005239A">
        <w:t xml:space="preserve">dinamikus </w:t>
      </w:r>
      <w:r w:rsidR="00A95C0C">
        <w:t>bővülés majdnem megduplázódott negyedik negyedévre (+27,2%,</w:t>
      </w:r>
      <w:r w:rsidR="00001010">
        <w:t xml:space="preserve"> +</w:t>
      </w:r>
      <w:r w:rsidR="00A95C0C">
        <w:t>49,7</w:t>
      </w:r>
      <w:r w:rsidR="00A101AC">
        <w:t xml:space="preserve"> </w:t>
      </w:r>
      <w:r w:rsidR="00001010">
        <w:t>milliárd forint</w:t>
      </w:r>
      <w:r w:rsidR="00A95C0C">
        <w:t>)</w:t>
      </w:r>
      <w:r w:rsidR="00001010">
        <w:t>. A hiteljellegek köz</w:t>
      </w:r>
      <w:r w:rsidR="00210764">
        <w:t>ül az összes többi hitelfajta csökkent, a beruházási hitelek -1,7%-kal, az egyéb hitelek -12,6%-kal, a hosszú lejáratú forgóeszköz hitelek pedig -20,1%-kal estek vissza.</w:t>
      </w:r>
    </w:p>
    <w:p w14:paraId="271EDB86" w14:textId="09B40D51" w:rsidR="00E71ACF" w:rsidRDefault="00394326" w:rsidP="00F64A27">
      <w:pPr>
        <w:pStyle w:val="Kpalrs"/>
        <w:numPr>
          <w:ilvl w:val="0"/>
          <w:numId w:val="15"/>
        </w:numPr>
        <w:spacing w:after="0"/>
      </w:pPr>
      <w:r w:rsidRPr="00394326">
        <w:t xml:space="preserve">ábra: A mezőgazdasági hitelállomány </w:t>
      </w:r>
      <w:r>
        <w:t xml:space="preserve">hitelcél szerinti </w:t>
      </w:r>
      <w:r w:rsidR="006845C7">
        <w:t>alakulása</w:t>
      </w:r>
      <w:r w:rsidR="006845C7" w:rsidRPr="00394326">
        <w:t xml:space="preserve"> </w:t>
      </w:r>
      <w:r w:rsidR="001D4D48">
        <w:t>(20</w:t>
      </w:r>
      <w:r w:rsidR="00B070AA">
        <w:t>23</w:t>
      </w:r>
      <w:r w:rsidRPr="00394326">
        <w:t>. I. – 20</w:t>
      </w:r>
      <w:r w:rsidR="00463F53">
        <w:t>2</w:t>
      </w:r>
      <w:r w:rsidR="00B070AA">
        <w:t>4</w:t>
      </w:r>
      <w:r w:rsidRPr="00394326">
        <w:t xml:space="preserve">. </w:t>
      </w:r>
      <w:r w:rsidR="00B82EA6">
        <w:t>I</w:t>
      </w:r>
      <w:r w:rsidR="00D66EB5">
        <w:t>V</w:t>
      </w:r>
      <w:r w:rsidRPr="00394326">
        <w:t>.)</w:t>
      </w:r>
    </w:p>
    <w:p w14:paraId="507D2A19" w14:textId="0C49B4A6" w:rsidR="00A101AC" w:rsidRDefault="00D66EB5" w:rsidP="00E55835">
      <w:r>
        <w:rPr>
          <w:noProof/>
          <w:lang w:eastAsia="hu-HU"/>
        </w:rPr>
        <w:drawing>
          <wp:inline distT="0" distB="0" distL="0" distR="0" wp14:anchorId="02A4099E" wp14:editId="389804FB">
            <wp:extent cx="6120130" cy="2138680"/>
            <wp:effectExtent l="0" t="0" r="0" b="0"/>
            <wp:docPr id="8" name="Diagram 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6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737C7E" w14:textId="2D833F6C" w:rsidR="00DD58BD" w:rsidRPr="00DD58BD" w:rsidRDefault="00DD58BD" w:rsidP="00E55835"/>
    <w:p w14:paraId="6B851DEB" w14:textId="77777777" w:rsidR="00443B28" w:rsidRDefault="00443B28" w:rsidP="0058253E">
      <w:pPr>
        <w:pStyle w:val="Listaszerbekezds"/>
        <w:numPr>
          <w:ilvl w:val="0"/>
          <w:numId w:val="9"/>
        </w:numPr>
        <w:spacing w:after="120"/>
        <w:jc w:val="both"/>
        <w:rPr>
          <w:b/>
        </w:rPr>
      </w:pPr>
      <w:r w:rsidRPr="00443B28">
        <w:rPr>
          <w:b/>
        </w:rPr>
        <w:t>Élelmiszeripar hitelállománya</w:t>
      </w:r>
    </w:p>
    <w:p w14:paraId="7FB24610" w14:textId="65B951BC" w:rsidR="00E66392" w:rsidRDefault="00EA7E58" w:rsidP="0058253E">
      <w:pPr>
        <w:spacing w:after="120"/>
        <w:jc w:val="both"/>
      </w:pPr>
      <w:r w:rsidRPr="00EA7E58">
        <w:t xml:space="preserve">Az élelmiszeripar hitelállománya </w:t>
      </w:r>
      <w:r w:rsidR="00D144B3">
        <w:t>202</w:t>
      </w:r>
      <w:r w:rsidR="009C6815">
        <w:t>4</w:t>
      </w:r>
      <w:r w:rsidR="00125DDD">
        <w:t>.</w:t>
      </w:r>
      <w:r w:rsidR="00D144B3">
        <w:t xml:space="preserve"> </w:t>
      </w:r>
      <w:r w:rsidR="004C4CA3">
        <w:t>I</w:t>
      </w:r>
      <w:r w:rsidR="00813E6B">
        <w:t>V</w:t>
      </w:r>
      <w:r w:rsidRPr="00EA7E58">
        <w:t>. negyedév</w:t>
      </w:r>
      <w:r w:rsidR="00D144B3">
        <w:t>é</w:t>
      </w:r>
      <w:r w:rsidRPr="00EA7E58">
        <w:t>ben</w:t>
      </w:r>
      <w:r w:rsidR="00813E6B">
        <w:t xml:space="preserve"> éves szinten növekedést ért el, +0,9%-ot, ami az előző negyedévhez viszonyítva 5,8 százalékpontos (+6,5 milliárd forint) emelkedést jelent. N</w:t>
      </w:r>
      <w:r w:rsidR="000B21FE">
        <w:t xml:space="preserve">egyedéves szinten </w:t>
      </w:r>
      <w:r w:rsidR="00813E6B">
        <w:t>a növekedés még nagyobb</w:t>
      </w:r>
      <w:r w:rsidR="00B343CA">
        <w:t xml:space="preserve"> </w:t>
      </w:r>
      <w:r w:rsidR="00813E6B">
        <w:t>(</w:t>
      </w:r>
      <w:r w:rsidR="00B343CA">
        <w:t>+</w:t>
      </w:r>
      <w:r w:rsidR="00813E6B">
        <w:t>4,8</w:t>
      </w:r>
      <w:r w:rsidR="00AA3766">
        <w:t>%</w:t>
      </w:r>
      <w:r w:rsidR="00813E6B">
        <w:t>, +34,9 milliárd forint)</w:t>
      </w:r>
      <w:r w:rsidR="00644F41">
        <w:t>.</w:t>
      </w:r>
      <w:r w:rsidR="00E66392">
        <w:t xml:space="preserve"> </w:t>
      </w:r>
    </w:p>
    <w:p w14:paraId="755F3FF2" w14:textId="7409FC1E" w:rsidR="00F209C0" w:rsidRDefault="00B343CA" w:rsidP="009D6F4F">
      <w:pPr>
        <w:spacing w:after="120"/>
        <w:jc w:val="both"/>
      </w:pPr>
      <w:r>
        <w:t xml:space="preserve">Ezúttal mind </w:t>
      </w:r>
      <w:r w:rsidR="00813E6B">
        <w:t xml:space="preserve">az egyéni gazdaságok, mind a társas vállalkozások hitelállománya bővült negyedéves (egyéni: +1,1%, társas: </w:t>
      </w:r>
      <w:r w:rsidR="00206ED0">
        <w:t>+</w:t>
      </w:r>
      <w:r w:rsidR="00813E6B">
        <w:t xml:space="preserve">4,9%) és éves (egyéni: </w:t>
      </w:r>
      <w:r w:rsidR="00206ED0">
        <w:t>+</w:t>
      </w:r>
      <w:r w:rsidR="00813E6B">
        <w:t xml:space="preserve">9,0%, társas: </w:t>
      </w:r>
      <w:r w:rsidR="00206ED0">
        <w:t>+</w:t>
      </w:r>
      <w:r w:rsidR="00813E6B">
        <w:t xml:space="preserve">0,8%) szinten is. </w:t>
      </w:r>
      <w:r>
        <w:t xml:space="preserve">Az élelmiszeripari hitelállományt szemlélve </w:t>
      </w:r>
      <w:r w:rsidR="00813E6B">
        <w:t xml:space="preserve">továbbra is </w:t>
      </w:r>
      <w:r>
        <w:t xml:space="preserve">elmondható, hogy </w:t>
      </w:r>
      <w:r w:rsidR="00BB1C1E">
        <w:t>jól tükrözi a</w:t>
      </w:r>
      <w:r w:rsidR="009D37E7">
        <w:t>z</w:t>
      </w:r>
      <w:r w:rsidR="00BB1C1E">
        <w:t xml:space="preserve"> ágazat</w:t>
      </w:r>
      <w:r w:rsidR="00F209C0">
        <w:t xml:space="preserve"> </w:t>
      </w:r>
      <w:r w:rsidR="00BB1C1E">
        <w:t>szerkezetét, amelynek összességére az egyéni gazdaságok teljesítménye alig van hatással.</w:t>
      </w:r>
    </w:p>
    <w:p w14:paraId="5FD9AD95" w14:textId="58195ED1" w:rsidR="004216F7" w:rsidRDefault="002E082F" w:rsidP="004216F7">
      <w:pPr>
        <w:pStyle w:val="Kpalrs"/>
        <w:numPr>
          <w:ilvl w:val="0"/>
          <w:numId w:val="15"/>
        </w:numPr>
        <w:spacing w:after="0"/>
      </w:pPr>
      <w:r w:rsidRPr="00F64A27">
        <w:t xml:space="preserve">ábra: Az élelmiszeripari hitelállomány </w:t>
      </w:r>
      <w:r w:rsidR="008B2728" w:rsidRPr="00F64A27">
        <w:t>gazdálkodási forma</w:t>
      </w:r>
      <w:r w:rsidR="001D4D48">
        <w:t xml:space="preserve"> szerint (20</w:t>
      </w:r>
      <w:r w:rsidR="00FE65B2">
        <w:t>23</w:t>
      </w:r>
      <w:r w:rsidRPr="00F64A27">
        <w:t>. I. – 20</w:t>
      </w:r>
      <w:r w:rsidR="00FA7096" w:rsidRPr="00F64A27">
        <w:t>2</w:t>
      </w:r>
      <w:r w:rsidR="00FE65B2">
        <w:t>4</w:t>
      </w:r>
      <w:r w:rsidR="00FA7096" w:rsidRPr="00F64A27">
        <w:t xml:space="preserve">. </w:t>
      </w:r>
      <w:r w:rsidR="004C4CA3">
        <w:t>I</w:t>
      </w:r>
      <w:r w:rsidR="00440C55">
        <w:t>V</w:t>
      </w:r>
      <w:r w:rsidR="00FA7096" w:rsidRPr="00F64A27">
        <w:t>.</w:t>
      </w:r>
      <w:r w:rsidRPr="00F64A27">
        <w:t>)</w:t>
      </w:r>
    </w:p>
    <w:p w14:paraId="184DEBDB" w14:textId="6D3177AC" w:rsidR="00DD58BD" w:rsidRPr="00DD58BD" w:rsidRDefault="00440C55" w:rsidP="00E55835">
      <w:r>
        <w:rPr>
          <w:noProof/>
          <w:lang w:eastAsia="hu-HU"/>
        </w:rPr>
        <w:drawing>
          <wp:inline distT="0" distB="0" distL="0" distR="0" wp14:anchorId="1DC9031D" wp14:editId="73528544">
            <wp:extent cx="6120130" cy="3019425"/>
            <wp:effectExtent l="0" t="0" r="0" b="0"/>
            <wp:docPr id="9" name="Diagram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7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E5237A" w14:textId="1D496CED" w:rsidR="0079327C" w:rsidRDefault="00DA7E64" w:rsidP="00FE65B2">
      <w:pPr>
        <w:jc w:val="both"/>
        <w:rPr>
          <w:noProof/>
          <w:sz w:val="12"/>
          <w:szCs w:val="12"/>
          <w:lang w:eastAsia="hu-HU"/>
        </w:rPr>
      </w:pPr>
      <w:r>
        <w:tab/>
      </w:r>
    </w:p>
    <w:p w14:paraId="0DF038CE" w14:textId="642439FD" w:rsidR="00664268" w:rsidRDefault="007F2A8D" w:rsidP="00664268">
      <w:pPr>
        <w:spacing w:after="120"/>
        <w:jc w:val="both"/>
      </w:pPr>
      <w:r w:rsidRPr="007B7E05">
        <w:t>A</w:t>
      </w:r>
      <w:r w:rsidR="00441493">
        <w:t xml:space="preserve"> hitel</w:t>
      </w:r>
      <w:r w:rsidR="00E863FC">
        <w:t>jellegek vizsgálata alapján az élelmiszeriparban éves</w:t>
      </w:r>
      <w:r w:rsidR="00FB2D0B">
        <w:t xml:space="preserve"> (+</w:t>
      </w:r>
      <w:r w:rsidR="00A31191">
        <w:t xml:space="preserve">31,6%, +53,8 </w:t>
      </w:r>
      <w:r w:rsidR="00FB2D0B">
        <w:t>milliárd forint)</w:t>
      </w:r>
      <w:r w:rsidR="00E863FC">
        <w:t xml:space="preserve"> és negyedéves szinten </w:t>
      </w:r>
      <w:r w:rsidR="00FB2D0B">
        <w:t>(+</w:t>
      </w:r>
      <w:r w:rsidR="00A31191">
        <w:t>11,8</w:t>
      </w:r>
      <w:r w:rsidR="00FB2D0B">
        <w:t>%, +</w:t>
      </w:r>
      <w:r w:rsidR="00A31191">
        <w:t>23,6</w:t>
      </w:r>
      <w:r w:rsidR="00FB2D0B">
        <w:t xml:space="preserve"> milliárd forint) </w:t>
      </w:r>
      <w:r w:rsidR="00E863FC">
        <w:t xml:space="preserve">is a forint folyószámla- és egyéb éven belüli hitelek </w:t>
      </w:r>
      <w:r w:rsidR="00A31191">
        <w:t>emelkedtek leginkább. A beruházási hitelek mindkét idő dimenzióban a második helyen (</w:t>
      </w:r>
      <w:r w:rsidR="00CB1D49">
        <w:t>negyedéves: +</w:t>
      </w:r>
      <w:r w:rsidR="00A31191">
        <w:t>3,1</w:t>
      </w:r>
      <w:r w:rsidR="00FB2D0B">
        <w:t>%, +</w:t>
      </w:r>
      <w:r w:rsidR="00A31191">
        <w:t>9,2</w:t>
      </w:r>
      <w:r w:rsidR="00FB2D0B">
        <w:t xml:space="preserve"> milliárd forint</w:t>
      </w:r>
      <w:r w:rsidR="00CB1D49">
        <w:t xml:space="preserve">; éves: +3,6%, </w:t>
      </w:r>
      <w:r w:rsidR="00206ED0">
        <w:t>+</w:t>
      </w:r>
      <w:r w:rsidR="00CB1D49">
        <w:t>10,6 milliárd forint</w:t>
      </w:r>
      <w:r w:rsidR="00FB2D0B">
        <w:t>)</w:t>
      </w:r>
      <w:r w:rsidR="00236420">
        <w:t xml:space="preserve"> végeztek.</w:t>
      </w:r>
      <w:r w:rsidR="008B4716">
        <w:t xml:space="preserve"> </w:t>
      </w:r>
      <w:r w:rsidR="00236420">
        <w:t>A</w:t>
      </w:r>
      <w:r w:rsidR="00A31191">
        <w:t xml:space="preserve"> hosszú lejáratú forint folyóhitelek </w:t>
      </w:r>
      <w:r w:rsidR="00CB1D49">
        <w:t>negyedéves</w:t>
      </w:r>
      <w:r w:rsidR="00236420">
        <w:t xml:space="preserve"> szinten növekedtek</w:t>
      </w:r>
      <w:r w:rsidR="00CB1D49">
        <w:t xml:space="preserve"> </w:t>
      </w:r>
      <w:r w:rsidR="00236420">
        <w:t>(</w:t>
      </w:r>
      <w:r w:rsidR="00CB1D49">
        <w:t>+</w:t>
      </w:r>
      <w:r w:rsidR="00A31191">
        <w:t xml:space="preserve">1,5%, </w:t>
      </w:r>
      <w:r w:rsidR="00CB1D49">
        <w:t>+</w:t>
      </w:r>
      <w:r w:rsidR="00A31191">
        <w:t>2,9 milliárd forint</w:t>
      </w:r>
      <w:r w:rsidR="00236420">
        <w:t xml:space="preserve">), </w:t>
      </w:r>
      <w:r w:rsidR="00CB1D49">
        <w:t>éves</w:t>
      </w:r>
      <w:r w:rsidR="00236420">
        <w:t xml:space="preserve"> szinten </w:t>
      </w:r>
      <w:r w:rsidR="00236420">
        <w:lastRenderedPageBreak/>
        <w:t xml:space="preserve">viszont 13,4%-kal </w:t>
      </w:r>
      <w:r w:rsidR="00664268">
        <w:t xml:space="preserve">(-26,6 milliárd forint) </w:t>
      </w:r>
      <w:r w:rsidR="00236420">
        <w:t>es</w:t>
      </w:r>
      <w:r w:rsidR="00664268">
        <w:t>tek vissza.</w:t>
      </w:r>
      <w:r w:rsidR="00CB1D49">
        <w:t xml:space="preserve"> Ebben a negyedévben csupán az egyéb hitelek produkáltak csökkenést </w:t>
      </w:r>
      <w:r w:rsidR="00664268">
        <w:t xml:space="preserve">mindkét dimenzióban. </w:t>
      </w:r>
    </w:p>
    <w:p w14:paraId="7AA74569" w14:textId="721F5445" w:rsidR="001B4D0F" w:rsidRDefault="00E45000" w:rsidP="009C785A">
      <w:pPr>
        <w:pStyle w:val="Kpalrs"/>
        <w:numPr>
          <w:ilvl w:val="0"/>
          <w:numId w:val="15"/>
        </w:numPr>
        <w:spacing w:after="0"/>
      </w:pPr>
      <w:r w:rsidRPr="00394326">
        <w:t>ábra: A</w:t>
      </w:r>
      <w:r>
        <w:t>z élelmiszeripari</w:t>
      </w:r>
      <w:r w:rsidRPr="00394326">
        <w:t xml:space="preserve"> hitelállomány </w:t>
      </w:r>
      <w:r>
        <w:t>hitelcél szerinti alakulása</w:t>
      </w:r>
      <w:r w:rsidR="001D4D48">
        <w:t xml:space="preserve"> (20</w:t>
      </w:r>
      <w:r w:rsidR="00FE65B2">
        <w:t>23</w:t>
      </w:r>
      <w:r w:rsidRPr="00394326">
        <w:t>. I. – 20</w:t>
      </w:r>
      <w:r>
        <w:t>2</w:t>
      </w:r>
      <w:r w:rsidR="00FE65B2">
        <w:t>4</w:t>
      </w:r>
      <w:r>
        <w:t xml:space="preserve">. </w:t>
      </w:r>
      <w:r w:rsidR="007565FA">
        <w:t>I</w:t>
      </w:r>
      <w:r w:rsidR="00664268">
        <w:t>V</w:t>
      </w:r>
      <w:r w:rsidRPr="00394326">
        <w:t>.)</w:t>
      </w:r>
    </w:p>
    <w:p w14:paraId="2C9D6393" w14:textId="6EC5176C" w:rsidR="002661CA" w:rsidRPr="002661CA" w:rsidRDefault="00664268" w:rsidP="00E55835">
      <w:r>
        <w:rPr>
          <w:noProof/>
          <w:lang w:eastAsia="hu-HU"/>
        </w:rPr>
        <w:drawing>
          <wp:inline distT="0" distB="0" distL="0" distR="0" wp14:anchorId="10427C53" wp14:editId="6287C728">
            <wp:extent cx="6120130" cy="3567430"/>
            <wp:effectExtent l="0" t="0" r="0" b="0"/>
            <wp:docPr id="10" name="Diagram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8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874333" w:rsidDel="00892B16">
        <w:rPr>
          <w:noProof/>
          <w:lang w:eastAsia="hu-HU"/>
        </w:rPr>
        <w:t xml:space="preserve"> </w:t>
      </w:r>
    </w:p>
    <w:p w14:paraId="59774BAA" w14:textId="4BFC66BB" w:rsidR="004216F7" w:rsidRPr="00B573FA" w:rsidRDefault="004216F7" w:rsidP="00B573FA">
      <w:pPr>
        <w:rPr>
          <w:sz w:val="14"/>
          <w:szCs w:val="14"/>
        </w:rPr>
      </w:pPr>
    </w:p>
    <w:p w14:paraId="67EBFD3C" w14:textId="77777777" w:rsidR="00664268" w:rsidRDefault="00D27310" w:rsidP="00B410C9">
      <w:pPr>
        <w:spacing w:after="60"/>
        <w:jc w:val="both"/>
      </w:pPr>
      <w:r>
        <w:t xml:space="preserve">A nagy változások minden </w:t>
      </w:r>
      <w:r w:rsidR="00AD41C0">
        <w:t xml:space="preserve">hitelcél </w:t>
      </w:r>
      <w:r>
        <w:t>eset</w:t>
      </w:r>
      <w:r w:rsidR="00AD41C0">
        <w:t>é</w:t>
      </w:r>
      <w:r>
        <w:t>ben a társas vállalkozásoknak köszönhető</w:t>
      </w:r>
      <w:r w:rsidR="001538B2">
        <w:t>ek</w:t>
      </w:r>
      <w:r>
        <w:t xml:space="preserve">, amelyek </w:t>
      </w:r>
      <w:r w:rsidR="008477B9">
        <w:t xml:space="preserve">továbbra is </w:t>
      </w:r>
      <w:r>
        <w:t xml:space="preserve">a hitelállomány </w:t>
      </w:r>
      <w:r w:rsidR="006722DD">
        <w:t xml:space="preserve">több, mint </w:t>
      </w:r>
      <w:r>
        <w:t>99%-át birtokolj</w:t>
      </w:r>
      <w:r w:rsidR="00F65B8B">
        <w:t>ák</w:t>
      </w:r>
      <w:r>
        <w:t>.</w:t>
      </w:r>
    </w:p>
    <w:p w14:paraId="4E28466E" w14:textId="635ED564" w:rsidR="00D27310" w:rsidRDefault="006722DD" w:rsidP="00B410C9">
      <w:pPr>
        <w:spacing w:after="60"/>
        <w:jc w:val="both"/>
      </w:pPr>
      <w:r w:rsidRPr="006722DD">
        <w:t xml:space="preserve"> </w:t>
      </w:r>
    </w:p>
    <w:p w14:paraId="1897649B" w14:textId="4DDD10B3" w:rsidR="00220604" w:rsidRPr="00220604" w:rsidRDefault="00330567" w:rsidP="00B410C9">
      <w:pPr>
        <w:pStyle w:val="Listaszerbekezds"/>
        <w:numPr>
          <w:ilvl w:val="0"/>
          <w:numId w:val="9"/>
        </w:numPr>
        <w:spacing w:after="60"/>
        <w:ind w:left="714" w:hanging="357"/>
        <w:contextualSpacing w:val="0"/>
        <w:jc w:val="both"/>
      </w:pPr>
      <w:r>
        <w:rPr>
          <w:b/>
        </w:rPr>
        <w:t>Hitelállomány devizanem szerinti alakulása</w:t>
      </w:r>
      <w:r w:rsidR="000558B9">
        <w:rPr>
          <w:b/>
        </w:rPr>
        <w:t xml:space="preserve"> és a</w:t>
      </w:r>
      <w:r w:rsidR="007A4069">
        <w:rPr>
          <w:b/>
        </w:rPr>
        <w:t xml:space="preserve"> tárgynegyedév hiteljelleg szerinti kamatlábai</w:t>
      </w:r>
    </w:p>
    <w:p w14:paraId="715BC45C" w14:textId="49721EF3" w:rsidR="000558B9" w:rsidRDefault="00BC2BEF" w:rsidP="00DA7E64">
      <w:pPr>
        <w:spacing w:after="60"/>
        <w:jc w:val="both"/>
      </w:pPr>
      <w:r>
        <w:t>A</w:t>
      </w:r>
      <w:r w:rsidR="00573036">
        <w:t xml:space="preserve"> hitelállomány devizanem szerinti arány</w:t>
      </w:r>
      <w:r w:rsidR="000D4D0B">
        <w:t>a</w:t>
      </w:r>
      <w:r w:rsidR="000E6CD4">
        <w:t xml:space="preserve"> </w:t>
      </w:r>
      <w:r w:rsidR="000D4D0B">
        <w:t>2024 I</w:t>
      </w:r>
      <w:r w:rsidR="00664268">
        <w:t>V</w:t>
      </w:r>
      <w:r w:rsidR="000D4D0B">
        <w:t xml:space="preserve">. negyedévében továbbra is </w:t>
      </w:r>
      <w:r w:rsidR="00636771">
        <w:t>folyamatos esést mutat</w:t>
      </w:r>
      <w:r w:rsidR="00441493" w:rsidRPr="00441493">
        <w:t xml:space="preserve"> </w:t>
      </w:r>
      <w:r w:rsidR="00441493">
        <w:t>a forinthitelek kárára</w:t>
      </w:r>
      <w:r w:rsidR="00F80510">
        <w:t xml:space="preserve">. </w:t>
      </w:r>
      <w:r w:rsidR="00EF13E0">
        <w:t>Ez elsősorban a forint és a devizahitelek kamatlába közötti különbségnek</w:t>
      </w:r>
      <w:r w:rsidR="000D4D0B">
        <w:t>, illetve a forint árfolyam erőteljes ingadozásának</w:t>
      </w:r>
      <w:r w:rsidR="00EF13E0">
        <w:t xml:space="preserve"> következménye</w:t>
      </w:r>
      <w:r w:rsidR="000558B9">
        <w:t>.</w:t>
      </w:r>
    </w:p>
    <w:p w14:paraId="3A1A31FC" w14:textId="77777777" w:rsidR="00664268" w:rsidRDefault="000558B9" w:rsidP="00DA7E64">
      <w:pPr>
        <w:spacing w:after="60"/>
        <w:jc w:val="both"/>
      </w:pPr>
      <w:r>
        <w:t xml:space="preserve">Ez látszik </w:t>
      </w:r>
      <w:r w:rsidR="00F80510">
        <w:t xml:space="preserve">a mezőgazdaság hagyományosan inkább forintban zajló hitelezésén </w:t>
      </w:r>
      <w:r>
        <w:t xml:space="preserve">is, amely egyre </w:t>
      </w:r>
      <w:r w:rsidR="00F80510">
        <w:t>nagyobb teret enged a devizában felvett hiteleknek</w:t>
      </w:r>
      <w:r>
        <w:t xml:space="preserve">. </w:t>
      </w:r>
    </w:p>
    <w:p w14:paraId="0DFF1E4A" w14:textId="332879BF" w:rsidR="00664268" w:rsidRDefault="00664268" w:rsidP="00664268">
      <w:pPr>
        <w:pStyle w:val="Kpalrs"/>
        <w:numPr>
          <w:ilvl w:val="0"/>
          <w:numId w:val="15"/>
        </w:numPr>
        <w:spacing w:after="0"/>
      </w:pPr>
      <w:r>
        <w:t xml:space="preserve">ábra: </w:t>
      </w:r>
      <w:r w:rsidR="00021271" w:rsidRPr="00394326">
        <w:t>A</w:t>
      </w:r>
      <w:r w:rsidR="00021271">
        <w:t>z agrárgazdaság h</w:t>
      </w:r>
      <w:r w:rsidR="00021271" w:rsidRPr="00394326">
        <w:t>itelállomány</w:t>
      </w:r>
      <w:r w:rsidR="00021271">
        <w:t>ának</w:t>
      </w:r>
      <w:r w:rsidR="00021271" w:rsidRPr="00394326">
        <w:t xml:space="preserve"> </w:t>
      </w:r>
      <w:r w:rsidR="00021271">
        <w:t>devizanemek szerinti alakulása</w:t>
      </w:r>
      <w:r w:rsidR="00021271" w:rsidRPr="00394326">
        <w:t xml:space="preserve"> (20</w:t>
      </w:r>
      <w:r w:rsidR="00021271">
        <w:t>23</w:t>
      </w:r>
      <w:r w:rsidR="00021271" w:rsidRPr="00394326">
        <w:t>. I. – 20</w:t>
      </w:r>
      <w:r w:rsidR="00021271">
        <w:t>24.IV.</w:t>
      </w:r>
      <w:r w:rsidR="00021271" w:rsidRPr="00394326">
        <w:t>)</w:t>
      </w:r>
    </w:p>
    <w:p w14:paraId="02BB32F4" w14:textId="55EB8CBA" w:rsidR="00664268" w:rsidRDefault="00021271" w:rsidP="00664268">
      <w:pPr>
        <w:spacing w:after="60"/>
      </w:pPr>
      <w:r w:rsidRPr="00021271">
        <w:rPr>
          <w:noProof/>
          <w:sz w:val="16"/>
          <w:szCs w:val="16"/>
          <w:lang w:eastAsia="hu-HU"/>
        </w:rPr>
        <w:drawing>
          <wp:inline distT="0" distB="0" distL="0" distR="0" wp14:anchorId="4882AE23" wp14:editId="0AD33851">
            <wp:extent cx="6311043" cy="2827347"/>
            <wp:effectExtent l="0" t="0" r="1270" b="5080"/>
            <wp:docPr id="12" name="Diagram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9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4AF1AADB" w14:textId="0AD2A76A" w:rsidR="00F80510" w:rsidRDefault="00F80510" w:rsidP="00DA7E64">
      <w:pPr>
        <w:spacing w:after="60"/>
        <w:jc w:val="both"/>
      </w:pPr>
      <w:r>
        <w:lastRenderedPageBreak/>
        <w:t xml:space="preserve">2024. </w:t>
      </w:r>
      <w:r w:rsidR="000558B9">
        <w:t>I</w:t>
      </w:r>
      <w:r w:rsidR="00664268">
        <w:t>V</w:t>
      </w:r>
      <w:r>
        <w:t>. negyedév</w:t>
      </w:r>
      <w:r w:rsidR="000558B9">
        <w:t xml:space="preserve">ében előző év azonos időszakához képest </w:t>
      </w:r>
      <w:r w:rsidR="005A3D6D">
        <w:t>+3,</w:t>
      </w:r>
      <w:r w:rsidR="00664268">
        <w:t>6</w:t>
      </w:r>
      <w:r w:rsidR="00EF13E0">
        <w:t xml:space="preserve"> százalékponttal</w:t>
      </w:r>
      <w:r w:rsidR="000558B9">
        <w:t xml:space="preserve"> nőtt a devizahitelek aránya a </w:t>
      </w:r>
      <w:r w:rsidR="00493460">
        <w:t>forinthitelek rovására</w:t>
      </w:r>
      <w:r w:rsidR="000558B9">
        <w:t>.</w:t>
      </w:r>
    </w:p>
    <w:p w14:paraId="691B1E54" w14:textId="0C9C423D" w:rsidR="00F80510" w:rsidRDefault="00F80510" w:rsidP="001A1073">
      <w:pPr>
        <w:jc w:val="both"/>
      </w:pPr>
      <w:r>
        <w:t xml:space="preserve">Az élelmiszeripar hitelállománya esetén </w:t>
      </w:r>
      <w:r w:rsidR="007A4069">
        <w:t xml:space="preserve">is ugyanaz </w:t>
      </w:r>
      <w:r>
        <w:t>a devizapreferenci</w:t>
      </w:r>
      <w:r w:rsidR="007A4069">
        <w:t xml:space="preserve">a figyelhető meg, mint a mezőgazdaságban, éves viszonylatban folyamatos növekedés </w:t>
      </w:r>
      <w:r w:rsidR="00021271">
        <w:t>(+6,8</w:t>
      </w:r>
      <w:r w:rsidR="005A3D6D">
        <w:t xml:space="preserve"> százalékpont) </w:t>
      </w:r>
      <w:r w:rsidR="007A4069">
        <w:t>jellemez</w:t>
      </w:r>
      <w:r w:rsidR="005A3D6D">
        <w:t>i</w:t>
      </w:r>
      <w:r w:rsidR="007A4069">
        <w:t xml:space="preserve"> az élelmiszeripar devizában felvett</w:t>
      </w:r>
      <w:r w:rsidR="00493460">
        <w:t xml:space="preserve"> hitelállományát, </w:t>
      </w:r>
      <w:r w:rsidR="005A3D6D">
        <w:t xml:space="preserve">ugyanez a szám a </w:t>
      </w:r>
      <w:r w:rsidR="00493460">
        <w:t>negyedéve</w:t>
      </w:r>
      <w:r w:rsidR="005A3D6D">
        <w:t>t tekintve</w:t>
      </w:r>
      <w:r w:rsidR="00493460">
        <w:t xml:space="preserve"> </w:t>
      </w:r>
      <w:r w:rsidR="005A3D6D">
        <w:t>+</w:t>
      </w:r>
      <w:r w:rsidR="009D37E7">
        <w:t>0</w:t>
      </w:r>
      <w:r w:rsidR="00021271">
        <w:t>,4</w:t>
      </w:r>
      <w:r w:rsidR="005A3D6D">
        <w:t xml:space="preserve"> százalékpont</w:t>
      </w:r>
      <w:r w:rsidR="00493460">
        <w:t xml:space="preserve"> növekedést </w:t>
      </w:r>
      <w:r w:rsidR="00674C6D">
        <w:t>mutat</w:t>
      </w:r>
      <w:r w:rsidR="00493460">
        <w:t>.</w:t>
      </w:r>
    </w:p>
    <w:p w14:paraId="787CF337" w14:textId="77777777" w:rsidR="001A1073" w:rsidRDefault="001A1073" w:rsidP="001A1073">
      <w:pPr>
        <w:jc w:val="both"/>
      </w:pPr>
    </w:p>
    <w:p w14:paraId="4C654F2D" w14:textId="790C7A02" w:rsidR="002661CA" w:rsidRDefault="00DC236F" w:rsidP="00896DDC">
      <w:pPr>
        <w:pStyle w:val="Kpalrs"/>
        <w:keepNext/>
        <w:numPr>
          <w:ilvl w:val="0"/>
          <w:numId w:val="15"/>
        </w:numPr>
        <w:spacing w:after="0"/>
        <w:ind w:left="0" w:firstLine="0"/>
        <w:rPr>
          <w:noProof/>
          <w:lang w:eastAsia="hu-HU"/>
        </w:rPr>
      </w:pPr>
      <w:r w:rsidRPr="00394326">
        <w:t xml:space="preserve">ábra: </w:t>
      </w:r>
      <w:r w:rsidR="00021271">
        <w:t xml:space="preserve">A devizahitelek aránya a mezőgazdasági hitelállományon belül (%) </w:t>
      </w:r>
    </w:p>
    <w:p w14:paraId="7F736740" w14:textId="242CEC82" w:rsidR="00790BA0" w:rsidRDefault="00FD2580" w:rsidP="00636771">
      <w:pPr>
        <w:pStyle w:val="Kpalrs"/>
        <w:keepNext/>
        <w:spacing w:after="0"/>
        <w:rPr>
          <w:noProof/>
          <w:lang w:eastAsia="hu-HU"/>
        </w:rPr>
      </w:pPr>
      <w:r w:rsidDel="00FD2580">
        <w:rPr>
          <w:noProof/>
          <w:lang w:eastAsia="hu-HU"/>
        </w:rPr>
        <w:t xml:space="preserve"> </w:t>
      </w:r>
    </w:p>
    <w:p w14:paraId="7DA6BB21" w14:textId="0A1A42F2" w:rsidR="00021271" w:rsidRDefault="00021271" w:rsidP="00021271">
      <w:pPr>
        <w:rPr>
          <w:lang w:eastAsia="hu-HU"/>
        </w:rPr>
      </w:pPr>
      <w:r>
        <w:rPr>
          <w:noProof/>
          <w:lang w:eastAsia="hu-HU"/>
        </w:rPr>
        <w:drawing>
          <wp:inline distT="0" distB="0" distL="0" distR="0" wp14:anchorId="2C86F716" wp14:editId="04926A14">
            <wp:extent cx="4886150" cy="2434660"/>
            <wp:effectExtent l="0" t="0" r="0" b="381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31613F7" w14:textId="77777777" w:rsidR="001A1073" w:rsidRDefault="001A1073" w:rsidP="001A1073">
      <w:pPr>
        <w:jc w:val="both"/>
        <w:rPr>
          <w:lang w:eastAsia="hu-HU"/>
        </w:rPr>
      </w:pPr>
    </w:p>
    <w:p w14:paraId="2C26006A" w14:textId="77777777" w:rsidR="001A1073" w:rsidRDefault="001A1073" w:rsidP="001A1073">
      <w:pPr>
        <w:spacing w:after="60"/>
        <w:jc w:val="both"/>
      </w:pPr>
      <w:r>
        <w:rPr>
          <w:lang w:eastAsia="hu-HU"/>
        </w:rPr>
        <w:t xml:space="preserve">A devizahitel arány növekedése 2023 I. negyedévétől érzékelhető, 2024 végére pedig egy következetesen növekvő tendenciává nőtte ki magát. </w:t>
      </w:r>
      <w:r>
        <w:t>Az agrárium különböző hiteljellegeinek kamatlábai az állományban és az új hitelkihelyezéseknél beszédesen magyarázzák a fent leírt folyamatokat.</w:t>
      </w:r>
    </w:p>
    <w:p w14:paraId="4A3F053D" w14:textId="77777777" w:rsidR="001A1073" w:rsidRDefault="001A1073" w:rsidP="001A1073">
      <w:pPr>
        <w:jc w:val="both"/>
        <w:rPr>
          <w:lang w:eastAsia="hu-HU"/>
        </w:rPr>
      </w:pPr>
    </w:p>
    <w:p w14:paraId="4108D534" w14:textId="6A256A74" w:rsidR="001A1073" w:rsidRDefault="001A1073" w:rsidP="001A1073">
      <w:pPr>
        <w:pStyle w:val="Kpalrs"/>
        <w:keepNext/>
        <w:numPr>
          <w:ilvl w:val="0"/>
          <w:numId w:val="15"/>
        </w:numPr>
        <w:spacing w:after="0"/>
        <w:ind w:left="0" w:firstLine="0"/>
      </w:pPr>
      <w:r>
        <w:t>ábra: A devizahitelek aránya az élelmiszeripari hitelállományon belül (%)</w:t>
      </w:r>
    </w:p>
    <w:p w14:paraId="0AE80A01" w14:textId="6DED6B91" w:rsidR="001A1073" w:rsidRPr="00021271" w:rsidRDefault="001A1073" w:rsidP="001A1073">
      <w:pPr>
        <w:spacing w:after="120"/>
        <w:rPr>
          <w:lang w:eastAsia="hu-HU"/>
        </w:rPr>
      </w:pPr>
      <w:r>
        <w:rPr>
          <w:noProof/>
          <w:lang w:eastAsia="hu-HU"/>
        </w:rPr>
        <w:drawing>
          <wp:inline distT="0" distB="0" distL="0" distR="0" wp14:anchorId="48448CC4" wp14:editId="26118F20">
            <wp:extent cx="5435912" cy="3152717"/>
            <wp:effectExtent l="0" t="0" r="0"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07A62778" w14:textId="77777777" w:rsidR="001A1073" w:rsidRDefault="001A1073" w:rsidP="00BB74E6">
      <w:pPr>
        <w:spacing w:after="60"/>
        <w:jc w:val="both"/>
      </w:pPr>
    </w:p>
    <w:p w14:paraId="0C44CFE2" w14:textId="77777777" w:rsidR="001A1073" w:rsidRDefault="001A1073" w:rsidP="00BB74E6">
      <w:pPr>
        <w:spacing w:after="60"/>
        <w:jc w:val="both"/>
      </w:pPr>
    </w:p>
    <w:p w14:paraId="46E7C7CD" w14:textId="77777777" w:rsidR="001A1073" w:rsidRDefault="001A1073" w:rsidP="00BB74E6">
      <w:pPr>
        <w:spacing w:after="60"/>
        <w:jc w:val="both"/>
      </w:pPr>
    </w:p>
    <w:p w14:paraId="03B3369F" w14:textId="2E30B671" w:rsidR="00F542AC" w:rsidRDefault="00F542AC" w:rsidP="00F542AC">
      <w:pPr>
        <w:pStyle w:val="Kpalrs"/>
        <w:keepNext/>
        <w:numPr>
          <w:ilvl w:val="0"/>
          <w:numId w:val="15"/>
        </w:numPr>
        <w:spacing w:after="0"/>
        <w:ind w:left="0" w:firstLine="0"/>
      </w:pPr>
      <w:r>
        <w:lastRenderedPageBreak/>
        <w:t>Az agrárgazdaság forint hitelállományának kamatlábai 2024. I</w:t>
      </w:r>
      <w:r w:rsidR="001D2350">
        <w:t>V</w:t>
      </w:r>
      <w:r>
        <w:t>. negyedévben (%)</w:t>
      </w:r>
    </w:p>
    <w:p w14:paraId="5EDCA238" w14:textId="331EFABA" w:rsidR="00F542AC" w:rsidRDefault="00B803C2" w:rsidP="00F542AC">
      <w:r w:rsidDel="00B803C2">
        <w:rPr>
          <w:noProof/>
          <w:lang w:eastAsia="hu-HU"/>
        </w:rPr>
        <w:t xml:space="preserve">  </w:t>
      </w:r>
      <w:r w:rsidR="001D2350">
        <w:rPr>
          <w:noProof/>
          <w:lang w:eastAsia="hu-HU"/>
        </w:rPr>
        <w:drawing>
          <wp:inline distT="0" distB="0" distL="0" distR="0" wp14:anchorId="46857EAC" wp14:editId="155A2313">
            <wp:extent cx="5301276" cy="2277585"/>
            <wp:effectExtent l="0" t="0" r="0" b="889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B4C96A4" w14:textId="472B7179" w:rsidR="00F542AC" w:rsidRDefault="00F542AC" w:rsidP="00F542AC">
      <w:pPr>
        <w:pStyle w:val="Kpalrs"/>
        <w:keepNext/>
        <w:numPr>
          <w:ilvl w:val="0"/>
          <w:numId w:val="15"/>
        </w:numPr>
        <w:spacing w:after="0"/>
        <w:ind w:left="0" w:firstLine="0"/>
      </w:pPr>
      <w:r>
        <w:t>Az agrárgazdaság deviza hitelállományának kamatlábai 2024. I</w:t>
      </w:r>
      <w:r w:rsidR="001D2350">
        <w:t>V</w:t>
      </w:r>
      <w:r>
        <w:t>. negyedévben (%)</w:t>
      </w:r>
    </w:p>
    <w:p w14:paraId="187EC4BB" w14:textId="60EC1D28" w:rsidR="00F542AC" w:rsidRPr="00F542AC" w:rsidRDefault="00B803C2" w:rsidP="00F542AC">
      <w:r w:rsidDel="00B803C2">
        <w:rPr>
          <w:noProof/>
          <w:lang w:eastAsia="hu-HU"/>
        </w:rPr>
        <w:t xml:space="preserve"> </w:t>
      </w:r>
      <w:r w:rsidR="001D2350">
        <w:rPr>
          <w:noProof/>
          <w:lang w:eastAsia="hu-HU"/>
        </w:rPr>
        <w:drawing>
          <wp:inline distT="0" distB="0" distL="0" distR="0" wp14:anchorId="5D278496" wp14:editId="43CB091E">
            <wp:extent cx="5329325" cy="2361732"/>
            <wp:effectExtent l="0" t="0" r="5080" b="635"/>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68FEC63" w14:textId="77777777" w:rsidR="00B803C2" w:rsidRPr="00BB74E6" w:rsidRDefault="00B803C2" w:rsidP="00BB74E6">
      <w:pPr>
        <w:jc w:val="both"/>
        <w:rPr>
          <w:lang w:eastAsia="hu-HU"/>
        </w:rPr>
      </w:pPr>
    </w:p>
    <w:p w14:paraId="0DCFBA5B" w14:textId="1CAEE720" w:rsidR="00727DC8" w:rsidRPr="00727DC8" w:rsidRDefault="000D275B" w:rsidP="00727DC8">
      <w:pPr>
        <w:pStyle w:val="Listaszerbekezds"/>
        <w:numPr>
          <w:ilvl w:val="0"/>
          <w:numId w:val="9"/>
        </w:numPr>
        <w:spacing w:after="120"/>
        <w:jc w:val="both"/>
        <w:rPr>
          <w:b/>
        </w:rPr>
      </w:pPr>
      <w:r w:rsidRPr="000D275B">
        <w:rPr>
          <w:b/>
        </w:rPr>
        <w:t>Új</w:t>
      </w:r>
      <w:r>
        <w:rPr>
          <w:b/>
        </w:rPr>
        <w:t xml:space="preserve">onnan folyósított </w:t>
      </w:r>
      <w:r w:rsidRPr="000D275B">
        <w:rPr>
          <w:b/>
        </w:rPr>
        <w:t>hitelek</w:t>
      </w:r>
    </w:p>
    <w:p w14:paraId="62068E43" w14:textId="649DCBF0" w:rsidR="005D4393" w:rsidRDefault="00222958" w:rsidP="005D4393">
      <w:pPr>
        <w:spacing w:after="120"/>
        <w:jc w:val="both"/>
      </w:pPr>
      <w:r>
        <w:t>202</w:t>
      </w:r>
      <w:r w:rsidR="00441FCF">
        <w:t>4</w:t>
      </w:r>
      <w:r w:rsidR="00A8067D">
        <w:t xml:space="preserve"> </w:t>
      </w:r>
      <w:r w:rsidR="00757179">
        <w:t>I</w:t>
      </w:r>
      <w:r w:rsidR="005D4393">
        <w:t>V</w:t>
      </w:r>
      <w:r w:rsidR="006264C4">
        <w:t>.</w:t>
      </w:r>
      <w:r w:rsidR="00454D67" w:rsidRPr="00454D67">
        <w:t xml:space="preserve"> negyedévében összesen </w:t>
      </w:r>
      <w:r w:rsidR="00441FCF">
        <w:t>1</w:t>
      </w:r>
      <w:r w:rsidR="005D4393">
        <w:t>58,1</w:t>
      </w:r>
      <w:r w:rsidR="00454D67">
        <w:t xml:space="preserve"> milli</w:t>
      </w:r>
      <w:r w:rsidR="00480C51">
        <w:t>árd</w:t>
      </w:r>
      <w:r w:rsidR="00454D67">
        <w:t xml:space="preserve"> forint</w:t>
      </w:r>
      <w:r w:rsidR="00B94AE2">
        <w:t xml:space="preserve"> hitelt folyósítottak az agrárgazdasági vállalkozásoknak</w:t>
      </w:r>
      <w:r w:rsidR="007936DB">
        <w:t>, ami</w:t>
      </w:r>
      <w:r w:rsidR="005D4393">
        <w:t xml:space="preserve"> negyedéves szinten +7,8%-os (+11,3 milliárd forint) bővülést, </w:t>
      </w:r>
      <w:r w:rsidR="007936DB">
        <w:t xml:space="preserve">éves szinten </w:t>
      </w:r>
      <w:r w:rsidR="00256D26">
        <w:t>-</w:t>
      </w:r>
      <w:r w:rsidR="005D4393">
        <w:t>5,7</w:t>
      </w:r>
      <w:r w:rsidR="00256D26">
        <w:t>%-o</w:t>
      </w:r>
      <w:r w:rsidR="00BD3D25">
        <w:t>s</w:t>
      </w:r>
      <w:r w:rsidR="00256D26">
        <w:t xml:space="preserve"> </w:t>
      </w:r>
      <w:r w:rsidR="00ED620A">
        <w:t>(</w:t>
      </w:r>
      <w:r w:rsidR="00256D26">
        <w:t>-</w:t>
      </w:r>
      <w:r w:rsidR="005D4393">
        <w:t>9,6</w:t>
      </w:r>
      <w:r w:rsidR="00ED620A">
        <w:t xml:space="preserve"> milliárd forint)</w:t>
      </w:r>
      <w:r w:rsidR="005915A1">
        <w:t xml:space="preserve"> csökken</w:t>
      </w:r>
      <w:r w:rsidR="00BD3D25">
        <w:t>és</w:t>
      </w:r>
      <w:r w:rsidR="005915A1">
        <w:t>t</w:t>
      </w:r>
      <w:r w:rsidR="00256D26">
        <w:t xml:space="preserve"> </w:t>
      </w:r>
      <w:r w:rsidR="00BD3D25">
        <w:t>jelent</w:t>
      </w:r>
      <w:r w:rsidR="00CB147D">
        <w:t>.</w:t>
      </w:r>
      <w:r w:rsidR="00ED620A">
        <w:t xml:space="preserve"> </w:t>
      </w:r>
      <w:r w:rsidR="008433E8">
        <w:t xml:space="preserve">A folyósított hitelek </w:t>
      </w:r>
      <w:r w:rsidR="005D4393">
        <w:t>53,9</w:t>
      </w:r>
      <w:r w:rsidR="008433E8">
        <w:t>%-a került a</w:t>
      </w:r>
      <w:r w:rsidR="005915A1">
        <w:t>z</w:t>
      </w:r>
      <w:r w:rsidR="008433E8">
        <w:t xml:space="preserve"> </w:t>
      </w:r>
      <w:r w:rsidR="005D4393">
        <w:t>mezőgazdaság</w:t>
      </w:r>
      <w:r w:rsidR="005915A1">
        <w:t>hoz</w:t>
      </w:r>
      <w:r w:rsidR="008433E8">
        <w:t xml:space="preserve"> </w:t>
      </w:r>
      <w:r w:rsidR="005D4393">
        <w:t>(+85,2</w:t>
      </w:r>
      <w:r w:rsidR="008433E8">
        <w:t xml:space="preserve"> milliárd forint</w:t>
      </w:r>
      <w:r w:rsidR="005D4393">
        <w:t>), 46,1%-a pedig az élelmiszeriparhoz</w:t>
      </w:r>
      <w:r w:rsidR="00256D26">
        <w:t xml:space="preserve"> (+</w:t>
      </w:r>
      <w:r w:rsidR="005D4393">
        <w:t>72,8</w:t>
      </w:r>
      <w:r w:rsidR="00256D26">
        <w:t xml:space="preserve"> milliárd forint)</w:t>
      </w:r>
      <w:r w:rsidR="008433E8">
        <w:t>.</w:t>
      </w:r>
      <w:r w:rsidR="005D4393">
        <w:t xml:space="preserve"> </w:t>
      </w:r>
    </w:p>
    <w:p w14:paraId="4DA96E40" w14:textId="341E32A1" w:rsidR="00283307" w:rsidRPr="00F42C73" w:rsidRDefault="000D275B" w:rsidP="00B27B92">
      <w:pPr>
        <w:pStyle w:val="Kpalrs"/>
        <w:keepNext/>
        <w:numPr>
          <w:ilvl w:val="0"/>
          <w:numId w:val="15"/>
        </w:numPr>
        <w:spacing w:after="0"/>
        <w:ind w:left="714" w:hanging="357"/>
        <w:rPr>
          <w:sz w:val="14"/>
          <w:szCs w:val="14"/>
        </w:rPr>
      </w:pPr>
      <w:r w:rsidRPr="00394326">
        <w:t>ábra: A</w:t>
      </w:r>
      <w:r>
        <w:t xml:space="preserve"> mezőgazdaság</w:t>
      </w:r>
      <w:r w:rsidRPr="00394326">
        <w:t xml:space="preserve"> </w:t>
      </w:r>
      <w:r>
        <w:t xml:space="preserve">új </w:t>
      </w:r>
      <w:r w:rsidRPr="00394326">
        <w:t>hitel</w:t>
      </w:r>
      <w:r>
        <w:t>ei</w:t>
      </w:r>
      <w:r w:rsidR="00366E0E">
        <w:t>nek</w:t>
      </w:r>
      <w:r w:rsidRPr="00394326">
        <w:t xml:space="preserve"> </w:t>
      </w:r>
      <w:r>
        <w:t xml:space="preserve">hitelcél szerinti </w:t>
      </w:r>
      <w:r w:rsidR="002173A6">
        <w:t>megoszlása (20</w:t>
      </w:r>
      <w:r w:rsidR="00727DC8">
        <w:t>23</w:t>
      </w:r>
      <w:r w:rsidRPr="00394326">
        <w:t>. I. – 20</w:t>
      </w:r>
      <w:r w:rsidR="002242C3">
        <w:t>2</w:t>
      </w:r>
      <w:r w:rsidR="00727DC8">
        <w:t>4</w:t>
      </w:r>
      <w:r w:rsidRPr="00394326">
        <w:t>.</w:t>
      </w:r>
      <w:r w:rsidR="002242C3">
        <w:t xml:space="preserve"> </w:t>
      </w:r>
      <w:r w:rsidR="00652965">
        <w:t>I</w:t>
      </w:r>
      <w:r w:rsidR="00E849B7">
        <w:t>V</w:t>
      </w:r>
      <w:r w:rsidR="002242C3">
        <w:t>.</w:t>
      </w:r>
      <w:r w:rsidRPr="00394326">
        <w:t>)</w:t>
      </w:r>
    </w:p>
    <w:p w14:paraId="22248E5B" w14:textId="0B9B5947" w:rsidR="00235476" w:rsidRDefault="00B803C2" w:rsidP="00972D0A">
      <w:pPr>
        <w:rPr>
          <w:sz w:val="14"/>
          <w:szCs w:val="14"/>
        </w:rPr>
      </w:pPr>
      <w:r w:rsidDel="00B803C2">
        <w:rPr>
          <w:noProof/>
          <w:lang w:eastAsia="hu-HU"/>
        </w:rPr>
        <w:t xml:space="preserve"> </w:t>
      </w:r>
      <w:r w:rsidR="00E849B7">
        <w:rPr>
          <w:noProof/>
          <w:lang w:eastAsia="hu-HU"/>
        </w:rPr>
        <w:drawing>
          <wp:inline distT="0" distB="0" distL="0" distR="0" wp14:anchorId="61BC9FC1" wp14:editId="0170C3FC">
            <wp:extent cx="6512997" cy="2367343"/>
            <wp:effectExtent l="0" t="0" r="2540" b="0"/>
            <wp:docPr id="20" name="Diagram 2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A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C34E5D0" w14:textId="5544BE94" w:rsidR="00DA7E64" w:rsidRDefault="00DA7E64" w:rsidP="00DA7E64">
      <w:pPr>
        <w:spacing w:after="120"/>
        <w:ind w:firstLine="709"/>
        <w:jc w:val="both"/>
        <w:rPr>
          <w:sz w:val="14"/>
          <w:szCs w:val="14"/>
        </w:rPr>
      </w:pPr>
    </w:p>
    <w:p w14:paraId="6883CF7D" w14:textId="77777777" w:rsidR="00E849B7" w:rsidRPr="00B573FA" w:rsidRDefault="00E849B7" w:rsidP="00DA7E64">
      <w:pPr>
        <w:spacing w:after="120"/>
        <w:ind w:firstLine="709"/>
        <w:jc w:val="both"/>
        <w:rPr>
          <w:sz w:val="14"/>
          <w:szCs w:val="14"/>
        </w:rPr>
      </w:pPr>
    </w:p>
    <w:p w14:paraId="3760211F" w14:textId="7A5C3A79" w:rsidR="00E849B7" w:rsidRDefault="00E849B7" w:rsidP="00D67B67">
      <w:pPr>
        <w:spacing w:after="120"/>
        <w:jc w:val="both"/>
      </w:pPr>
      <w:r>
        <w:lastRenderedPageBreak/>
        <w:t>Hitelcél szerint vizsgálva a mezőgazdaságban a legtöbb hitelt folyószámlahitelek formájában folyósították, összesen 32,2 milliárd forintot, a második legtöbbet pedig beruházási hitelként, összesen 28,6 milliárd forintot. Hosszú lejáratú forgóeszköz hitelekből 17,9 milliárdot, egyéb hitelekből pedig 6,6 milliárdot folyósítottak.</w:t>
      </w:r>
    </w:p>
    <w:p w14:paraId="70704776" w14:textId="0B1E31F4" w:rsidR="001F680C" w:rsidRDefault="00E849B7" w:rsidP="00D67B67">
      <w:pPr>
        <w:spacing w:after="120"/>
        <w:jc w:val="both"/>
      </w:pPr>
      <w:r>
        <w:t xml:space="preserve">Éves </w:t>
      </w:r>
      <w:r w:rsidR="001F680C">
        <w:t xml:space="preserve">és negyedéves szinten is az </w:t>
      </w:r>
      <w:r w:rsidR="00206ED0">
        <w:t>a hosszú lejáratú</w:t>
      </w:r>
      <w:r w:rsidR="001F680C">
        <w:t xml:space="preserve"> forgóeszköz </w:t>
      </w:r>
      <w:r w:rsidR="00206ED0">
        <w:t xml:space="preserve">hitelek, a forint folyószámla hitelek és az egyéb hitelek </w:t>
      </w:r>
      <w:r w:rsidR="001F680C">
        <w:t xml:space="preserve">növekedtek a legnagyobb mértékben, amely bővülés azonban a magas bázisnak köszönhető. Előző év azonos időszakához képest a beruházási hitelek csökkentek. </w:t>
      </w:r>
      <w:r w:rsidR="00206ED0">
        <w:t>Az</w:t>
      </w:r>
      <w:r w:rsidR="001F680C">
        <w:t xml:space="preserve"> elmúlt két negyedévben mind a beruházási, mind a folyószámla hitelek határozott növekedést mutatnak.</w:t>
      </w:r>
    </w:p>
    <w:p w14:paraId="5561D9BB" w14:textId="6A563759" w:rsidR="007F3E1F" w:rsidRDefault="007F3E1F" w:rsidP="00790BA0">
      <w:pPr>
        <w:pStyle w:val="Kpalrs"/>
        <w:keepNext/>
        <w:numPr>
          <w:ilvl w:val="0"/>
          <w:numId w:val="15"/>
        </w:numPr>
        <w:spacing w:after="0"/>
        <w:ind w:left="714" w:hanging="357"/>
      </w:pPr>
      <w:r w:rsidRPr="00394326">
        <w:t>ábra: A</w:t>
      </w:r>
      <w:r>
        <w:t>z élelmiszeripar</w:t>
      </w:r>
      <w:r w:rsidRPr="00394326">
        <w:t xml:space="preserve"> </w:t>
      </w:r>
      <w:r>
        <w:t xml:space="preserve">új </w:t>
      </w:r>
      <w:r w:rsidRPr="00394326">
        <w:t>hitel</w:t>
      </w:r>
      <w:r>
        <w:t>ei</w:t>
      </w:r>
      <w:r w:rsidR="00E5274F">
        <w:t>nek</w:t>
      </w:r>
      <w:r w:rsidRPr="00394326">
        <w:t xml:space="preserve"> </w:t>
      </w:r>
      <w:r>
        <w:t xml:space="preserve">hitelcél szerinti </w:t>
      </w:r>
      <w:r w:rsidR="00E94E92">
        <w:t>megoszlása (20</w:t>
      </w:r>
      <w:r w:rsidR="00200A9A">
        <w:t>23</w:t>
      </w:r>
      <w:r w:rsidRPr="00394326">
        <w:t>. I. – 20</w:t>
      </w:r>
      <w:r w:rsidR="002242C3">
        <w:t>2</w:t>
      </w:r>
      <w:r w:rsidR="00200A9A">
        <w:t>4</w:t>
      </w:r>
      <w:r w:rsidRPr="00394326">
        <w:t>.</w:t>
      </w:r>
      <w:r w:rsidR="00D67B67">
        <w:t>I</w:t>
      </w:r>
      <w:r w:rsidR="001F680C">
        <w:t>V</w:t>
      </w:r>
      <w:r w:rsidR="002242C3">
        <w:t>.</w:t>
      </w:r>
      <w:r w:rsidRPr="00394326">
        <w:t>)</w:t>
      </w:r>
    </w:p>
    <w:p w14:paraId="1626B493" w14:textId="2A56C2B6" w:rsidR="00060E6C" w:rsidRDefault="001F680C" w:rsidP="000D275B">
      <w:pPr>
        <w:spacing w:after="120"/>
        <w:rPr>
          <w:noProof/>
          <w:lang w:eastAsia="hu-HU"/>
        </w:rPr>
      </w:pPr>
      <w:r>
        <w:rPr>
          <w:noProof/>
          <w:lang w:eastAsia="hu-HU"/>
        </w:rPr>
        <w:drawing>
          <wp:inline distT="0" distB="0" distL="0" distR="0" wp14:anchorId="34EF5FBB" wp14:editId="6D31CB72">
            <wp:extent cx="6484948" cy="2210267"/>
            <wp:effectExtent l="0" t="0" r="0" b="0"/>
            <wp:docPr id="21" name="Diagram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0000000-0008-0000-0B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DA8BF7D" w14:textId="5FAE608B" w:rsidR="001F680C" w:rsidRDefault="001F680C" w:rsidP="001F680C">
      <w:pPr>
        <w:spacing w:after="120"/>
        <w:jc w:val="both"/>
        <w:rPr>
          <w:sz w:val="14"/>
          <w:szCs w:val="14"/>
        </w:rPr>
      </w:pPr>
      <w:r>
        <w:t xml:space="preserve">Az élelmiszeriparba </w:t>
      </w:r>
      <w:r w:rsidR="00A03CE1">
        <w:t>az előző negyedévvel ellentétben kevesebb hitelt folyósítottak</w:t>
      </w:r>
      <w:r>
        <w:t xml:space="preserve">, összesen </w:t>
      </w:r>
      <w:r w:rsidR="00A03CE1">
        <w:t>72</w:t>
      </w:r>
      <w:r>
        <w:t>,9 milliárd forintot</w:t>
      </w:r>
      <w:r w:rsidR="00AF1554">
        <w:t>, 12,4 milliárddal kevesebbet, mint a mezőgazdaságba</w:t>
      </w:r>
      <w:r>
        <w:t xml:space="preserve">. </w:t>
      </w:r>
      <w:r w:rsidR="00AF1554">
        <w:t xml:space="preserve">Fajlagosan a legtöbbet forint folyószámla hitelként helyezték ki, 53,0 milliárdot és éves szinten ez a hitelfajta növekedett a leginkább (+13,1%). A beruházási hitelek 2024-es </w:t>
      </w:r>
      <w:r w:rsidR="00206ED0">
        <w:t xml:space="preserve">folyósítása </w:t>
      </w:r>
      <w:r w:rsidR="00AF1554">
        <w:t>az év második felére megnyugodott, a harmadik negyedév után ismét több, mint 14 milliárdot helyeztek ki beruházási hitelként (+14,4 Mrd), ami akkor is pozitív előjelű, ha ez negyedéves szinten 3,3%-os csökkenést jele</w:t>
      </w:r>
      <w:r w:rsidR="000C0F56">
        <w:t>n</w:t>
      </w:r>
      <w:r w:rsidR="00AF1554">
        <w:t>t. A forgóeszköz hitelek és az egyéb hitelek ezzel szemben mind előző negyedévhez, mind az előző év ugyanezen időszakához képest jelentősen visszaestek.</w:t>
      </w:r>
    </w:p>
    <w:p w14:paraId="247645AD" w14:textId="5DBE16E5" w:rsidR="00EF7A96" w:rsidRDefault="00EF7A96" w:rsidP="00EF7A96">
      <w:pPr>
        <w:pStyle w:val="Listaszerbekezds"/>
        <w:numPr>
          <w:ilvl w:val="0"/>
          <w:numId w:val="9"/>
        </w:numPr>
        <w:spacing w:after="120"/>
        <w:jc w:val="both"/>
        <w:rPr>
          <w:b/>
        </w:rPr>
      </w:pPr>
      <w:r w:rsidRPr="00EF7A96">
        <w:rPr>
          <w:b/>
        </w:rPr>
        <w:t>Ügyfélszám adatok</w:t>
      </w:r>
    </w:p>
    <w:p w14:paraId="325AD1B7" w14:textId="5B16FEB2" w:rsidR="008C568F" w:rsidRDefault="008C568F" w:rsidP="003E2DBD">
      <w:pPr>
        <w:spacing w:after="60"/>
        <w:jc w:val="both"/>
      </w:pPr>
      <w:r>
        <w:t>A két nemzetgazdasági ágazat hitelállományának megoszlása az ügyfelek számát tekintve teljesen eltérő, sőt, fordított arányt mutat.</w:t>
      </w:r>
      <w:r w:rsidR="00A93DAF">
        <w:t xml:space="preserve"> 2024 IV. negyedévében mind az egyéni, mind a társas ügyfelek száma több, mint 35%-kal csökkent.</w:t>
      </w:r>
    </w:p>
    <w:p w14:paraId="18887C59" w14:textId="77777777" w:rsidR="00A93DAF" w:rsidRPr="003E06D4" w:rsidRDefault="00A93DAF" w:rsidP="003E2DBD">
      <w:pPr>
        <w:spacing w:after="60"/>
        <w:jc w:val="both"/>
      </w:pPr>
    </w:p>
    <w:p w14:paraId="1EB30898" w14:textId="149335B6" w:rsidR="003E06D4" w:rsidRDefault="00EF7A96" w:rsidP="008C568F">
      <w:pPr>
        <w:pStyle w:val="Kpalrs"/>
        <w:keepNext/>
        <w:numPr>
          <w:ilvl w:val="0"/>
          <w:numId w:val="15"/>
        </w:numPr>
        <w:spacing w:after="0"/>
        <w:ind w:left="714" w:hanging="357"/>
      </w:pPr>
      <w:r w:rsidRPr="00EF7A96">
        <w:t xml:space="preserve">A mezőgazdaság </w:t>
      </w:r>
      <w:r w:rsidR="00A20021">
        <w:t>hitel</w:t>
      </w:r>
      <w:r w:rsidRPr="00EF7A96">
        <w:t>állományi ügyfeleinek darabszáma</w:t>
      </w:r>
      <w:r w:rsidR="00F0265B">
        <w:t xml:space="preserve"> hitelcélonként</w:t>
      </w:r>
      <w:r w:rsidRPr="00EF7A96">
        <w:t xml:space="preserve"> (2023. I. -2024. I</w:t>
      </w:r>
      <w:r w:rsidR="002B5667">
        <w:t>V</w:t>
      </w:r>
      <w:r w:rsidRPr="00EF7A96">
        <w:t>.)</w:t>
      </w:r>
    </w:p>
    <w:p w14:paraId="1BA8D650" w14:textId="4C5597F1" w:rsidR="00A20021" w:rsidRPr="00A20021" w:rsidRDefault="00A4769D" w:rsidP="003E2DBD">
      <w:pPr>
        <w:spacing w:after="60"/>
      </w:pPr>
      <w:r w:rsidDel="00A4769D">
        <w:rPr>
          <w:noProof/>
          <w:lang w:eastAsia="hu-HU"/>
        </w:rPr>
        <w:t xml:space="preserve"> </w:t>
      </w:r>
      <w:r w:rsidR="002B5667">
        <w:rPr>
          <w:noProof/>
          <w:lang w:eastAsia="hu-HU"/>
        </w:rPr>
        <w:drawing>
          <wp:inline distT="0" distB="0" distL="0" distR="0" wp14:anchorId="0AB2E92C" wp14:editId="2E6C04FC">
            <wp:extent cx="5985674" cy="2221487"/>
            <wp:effectExtent l="0" t="0" r="0" b="7620"/>
            <wp:docPr id="22" name="Diagram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85BC58D" w14:textId="3FBA9FF2" w:rsidR="00EF7A96" w:rsidRDefault="00A93DAF" w:rsidP="003E2DBD">
      <w:pPr>
        <w:spacing w:after="60"/>
        <w:jc w:val="both"/>
      </w:pPr>
      <w:r>
        <w:lastRenderedPageBreak/>
        <w:t>A</w:t>
      </w:r>
      <w:r w:rsidR="00A20021">
        <w:t xml:space="preserve"> mezőgazdasági </w:t>
      </w:r>
      <w:r w:rsidR="00A06B48">
        <w:t xml:space="preserve">hitelek esetében az ügyfélszám </w:t>
      </w:r>
      <w:r w:rsidR="00A20021">
        <w:t xml:space="preserve">több, mint </w:t>
      </w:r>
      <w:r w:rsidR="00A06B48">
        <w:t xml:space="preserve">kétharmadát </w:t>
      </w:r>
      <w:r>
        <w:t xml:space="preserve">továbbra is </w:t>
      </w:r>
      <w:r w:rsidR="00A20021">
        <w:t>az egyéni vállalkozások</w:t>
      </w:r>
      <w:r w:rsidR="00F0265B">
        <w:t>, egyharmadát a társas vállalkozások</w:t>
      </w:r>
      <w:r w:rsidR="00A20021">
        <w:t xml:space="preserve"> teszik ki</w:t>
      </w:r>
      <w:r w:rsidR="003E06D4">
        <w:t>, értékben a társas vállalkozások a teljes mezőgazdasági hitelállomány 6</w:t>
      </w:r>
      <w:r>
        <w:t>4,1</w:t>
      </w:r>
      <w:r w:rsidR="003E06D4">
        <w:t xml:space="preserve">%-át, az egyéni vállalkozások pedig </w:t>
      </w:r>
      <w:r w:rsidR="006E7463">
        <w:t xml:space="preserve">csupán </w:t>
      </w:r>
      <w:r w:rsidR="003E06D4">
        <w:t>3</w:t>
      </w:r>
      <w:r>
        <w:t>5,9</w:t>
      </w:r>
      <w:r w:rsidR="003E06D4">
        <w:t xml:space="preserve">%-át </w:t>
      </w:r>
      <w:r w:rsidR="00F0265B">
        <w:t xml:space="preserve">tudják magukénak. Fontos megjegyezni, hogy a gyakorlatban </w:t>
      </w:r>
      <w:r w:rsidR="00724DB0">
        <w:t xml:space="preserve">egy ügyfél </w:t>
      </w:r>
      <w:r w:rsidR="00F0265B">
        <w:t xml:space="preserve">több hitellel rendelkezik, ezért a hitelcélonkénti adatok halmozódásokat tartalmaznak. </w:t>
      </w:r>
    </w:p>
    <w:p w14:paraId="23B6ABE9" w14:textId="4CB42D52" w:rsidR="00EF7A96" w:rsidRDefault="00A20021" w:rsidP="00A20021">
      <w:pPr>
        <w:pStyle w:val="Kpalrs"/>
        <w:keepNext/>
        <w:numPr>
          <w:ilvl w:val="0"/>
          <w:numId w:val="15"/>
        </w:numPr>
        <w:spacing w:after="0"/>
        <w:ind w:left="714" w:hanging="357"/>
      </w:pPr>
      <w:r>
        <w:t>Az élelmiszeripar hitelállományi ügyfeleinek darabszáma</w:t>
      </w:r>
      <w:r w:rsidR="001016E2">
        <w:t xml:space="preserve"> hitelcélonként</w:t>
      </w:r>
      <w:r>
        <w:t xml:space="preserve"> (2023. I. – 2024. I</w:t>
      </w:r>
      <w:r w:rsidR="00A93DAF">
        <w:t>V</w:t>
      </w:r>
      <w:r>
        <w:t>.)</w:t>
      </w:r>
    </w:p>
    <w:p w14:paraId="2481C7AE" w14:textId="6749B775" w:rsidR="00A20021" w:rsidRPr="00A20021" w:rsidRDefault="00A93DAF" w:rsidP="00A20021">
      <w:r>
        <w:rPr>
          <w:noProof/>
          <w:lang w:eastAsia="hu-HU"/>
        </w:rPr>
        <w:drawing>
          <wp:inline distT="0" distB="0" distL="0" distR="0" wp14:anchorId="120FE477" wp14:editId="72C17C7C">
            <wp:extent cx="6204457" cy="2771249"/>
            <wp:effectExtent l="0" t="0" r="6350" b="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A4769D" w:rsidDel="00A4769D">
        <w:rPr>
          <w:noProof/>
          <w:lang w:eastAsia="hu-HU"/>
        </w:rPr>
        <w:t xml:space="preserve"> </w:t>
      </w:r>
    </w:p>
    <w:p w14:paraId="31EDBC86" w14:textId="18AB1B87" w:rsidR="00EF7A96" w:rsidRDefault="00451053" w:rsidP="003E2DBD">
      <w:pPr>
        <w:spacing w:after="60"/>
        <w:jc w:val="both"/>
      </w:pPr>
      <w:r>
        <w:t>Az élelmiszeripar</w:t>
      </w:r>
      <w:r w:rsidR="0044714F">
        <w:t>ban az ügyfelek</w:t>
      </w:r>
      <w:r>
        <w:t xml:space="preserve"> </w:t>
      </w:r>
      <w:r w:rsidR="00F0265B">
        <w:t>meghatározó részét,</w:t>
      </w:r>
      <w:r>
        <w:t xml:space="preserve"> 99,</w:t>
      </w:r>
      <w:r w:rsidR="00D67B67">
        <w:t>3</w:t>
      </w:r>
      <w:r>
        <w:t xml:space="preserve">%-át a társas vállalkozásoknak </w:t>
      </w:r>
      <w:r w:rsidR="00312754">
        <w:t>adják</w:t>
      </w:r>
      <w:r>
        <w:t xml:space="preserve">, s </w:t>
      </w:r>
      <w:r w:rsidR="009F00E1">
        <w:t>mindössze</w:t>
      </w:r>
      <w:r>
        <w:t xml:space="preserve"> 0,7%-át az egyéni vállalkozások. </w:t>
      </w:r>
    </w:p>
    <w:p w14:paraId="654FF22F" w14:textId="2A44290A" w:rsidR="00451053" w:rsidRDefault="00451053" w:rsidP="003E2DBD">
      <w:pPr>
        <w:spacing w:after="60"/>
        <w:jc w:val="both"/>
      </w:pPr>
      <w:r>
        <w:t>A mezőgazdaságban az egyéni vállalkozások a zökkenőmentes napi működés biztosításához szinte kivétel nélkül élnek a felkínált hitelezési lehetőségekkel és ugyanez mondható el az élelmiszeripari társas vállalkozások</w:t>
      </w:r>
      <w:r w:rsidR="0000449B">
        <w:t xml:space="preserve"> esetében is</w:t>
      </w:r>
      <w:r>
        <w:t xml:space="preserve">. Az élelmiszeriparban egy jövedelmező vállalkozás azonban </w:t>
      </w:r>
      <w:r w:rsidR="0000449B">
        <w:t xml:space="preserve">nagyfokú </w:t>
      </w:r>
      <w:r>
        <w:t xml:space="preserve">gépesítettséget és </w:t>
      </w:r>
      <w:r w:rsidR="00637454">
        <w:t>komoly szaktudással rendelkező munkaerőt</w:t>
      </w:r>
      <w:r>
        <w:t xml:space="preserve"> igény</w:t>
      </w:r>
      <w:r w:rsidR="00637454">
        <w:t>el, amit kevés egyéni vállalkozó képes egymaga finanszírozni és fenntartani.</w:t>
      </w:r>
      <w:r w:rsidR="003B4AE5">
        <w:t xml:space="preserve"> Ezt tükrözik vissza a fenti adatok.</w:t>
      </w:r>
    </w:p>
    <w:p w14:paraId="70EE1DE9" w14:textId="62ECD6A4" w:rsidR="001C65D7" w:rsidRDefault="0097762F" w:rsidP="00EB36B5">
      <w:pPr>
        <w:spacing w:after="120"/>
        <w:jc w:val="both"/>
      </w:pPr>
      <w:r>
        <w:t xml:space="preserve">Az agrárgazdaság hiteleiről részletes adatok az </w:t>
      </w:r>
      <w:hyperlink r:id="rId28" w:history="1">
        <w:r w:rsidR="00944EAB" w:rsidRPr="00944EAB">
          <w:rPr>
            <w:color w:val="0000FF"/>
            <w:u w:val="single"/>
          </w:rPr>
          <w:t>Agrárstatisztika (kormany.hu)</w:t>
        </w:r>
      </w:hyperlink>
      <w:r w:rsidR="00944EAB">
        <w:t xml:space="preserve"> </w:t>
      </w:r>
      <w:r>
        <w:t xml:space="preserve">linken, illetve a KSH </w:t>
      </w:r>
      <w:r w:rsidR="004D7EA5">
        <w:t xml:space="preserve">STADAT táblái között, </w:t>
      </w:r>
      <w:hyperlink r:id="rId29" w:history="1">
        <w:r w:rsidR="00944EAB" w:rsidRPr="00BC1055">
          <w:rPr>
            <w:rStyle w:val="Hiperhivatkozs"/>
          </w:rPr>
          <w:t>https://www.ksh.hu/stadat_files/mez/hu/mez0106.html</w:t>
        </w:r>
      </w:hyperlink>
      <w:r w:rsidR="00944EAB">
        <w:t xml:space="preserve">, </w:t>
      </w:r>
      <w:r w:rsidR="004D7EA5">
        <w:t xml:space="preserve">valamint </w:t>
      </w:r>
      <w:r>
        <w:t>dinamikus lekérdező felületén, a Tájékoztatási adatbázisban</w:t>
      </w:r>
      <w:r w:rsidR="00480C51">
        <w:t>,</w:t>
      </w:r>
      <w:r>
        <w:t xml:space="preserve"> </w:t>
      </w:r>
      <w:r w:rsidR="00366E0E">
        <w:t xml:space="preserve">a Mezőgazdasági Számlarendszernél </w:t>
      </w:r>
      <w:r>
        <w:t>találhatók</w:t>
      </w:r>
      <w:r w:rsidR="00366E0E">
        <w:t>.</w:t>
      </w:r>
    </w:p>
    <w:sectPr w:rsidR="001C65D7" w:rsidSect="00955E10">
      <w:footerReference w:type="default" r:id="rId3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109056" w14:textId="77777777" w:rsidR="00B17CBE" w:rsidRDefault="00B17CBE" w:rsidP="00A91117">
      <w:r>
        <w:separator/>
      </w:r>
    </w:p>
  </w:endnote>
  <w:endnote w:type="continuationSeparator" w:id="0">
    <w:p w14:paraId="78C95E57" w14:textId="77777777" w:rsidR="00B17CBE" w:rsidRDefault="00B17CBE" w:rsidP="00A91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Times New Roman félkövér">
    <w:altName w:val="Times New Roman"/>
    <w:panose1 w:val="02020803070505020304"/>
    <w:charset w:val="00"/>
    <w:family w:val="auto"/>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824322"/>
      <w:docPartObj>
        <w:docPartGallery w:val="Page Numbers (Bottom of Page)"/>
        <w:docPartUnique/>
      </w:docPartObj>
    </w:sdtPr>
    <w:sdtEndPr/>
    <w:sdtContent>
      <w:p w14:paraId="4F67B51C" w14:textId="77777777" w:rsidR="00B0636D" w:rsidRDefault="00B0636D">
        <w:pPr>
          <w:pStyle w:val="llb"/>
        </w:pPr>
        <w:r>
          <w:fldChar w:fldCharType="begin"/>
        </w:r>
        <w:r>
          <w:instrText>PAGE   \* MERGEFORMAT</w:instrText>
        </w:r>
        <w:r>
          <w:fldChar w:fldCharType="separate"/>
        </w:r>
        <w:r w:rsidR="00185BF4">
          <w:rPr>
            <w:noProof/>
          </w:rPr>
          <w:t>8</w:t>
        </w:r>
        <w:r>
          <w:fldChar w:fldCharType="end"/>
        </w:r>
      </w:p>
    </w:sdtContent>
  </w:sdt>
  <w:p w14:paraId="589BE0A4" w14:textId="77777777" w:rsidR="009643A0" w:rsidRDefault="009643A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DF8795" w14:textId="77777777" w:rsidR="00B17CBE" w:rsidRDefault="00B17CBE" w:rsidP="00A91117">
      <w:r>
        <w:separator/>
      </w:r>
    </w:p>
  </w:footnote>
  <w:footnote w:type="continuationSeparator" w:id="0">
    <w:p w14:paraId="376058F1" w14:textId="77777777" w:rsidR="00B17CBE" w:rsidRDefault="00B17CBE" w:rsidP="00A911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671C"/>
    <w:multiLevelType w:val="hybridMultilevel"/>
    <w:tmpl w:val="92C06FCC"/>
    <w:lvl w:ilvl="0" w:tplc="44EC9FA8">
      <w:start w:val="5"/>
      <w:numFmt w:val="decimal"/>
      <w:lvlText w:val="%1."/>
      <w:lvlJc w:val="left"/>
      <w:pPr>
        <w:ind w:left="1080" w:hanging="360"/>
      </w:pPr>
      <w:rPr>
        <w:rFonts w:hint="default"/>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1" w15:restartNumberingAfterBreak="0">
    <w:nsid w:val="089609E4"/>
    <w:multiLevelType w:val="multilevel"/>
    <w:tmpl w:val="040E001D"/>
    <w:numStyleLink w:val="Stlus1"/>
  </w:abstractNum>
  <w:abstractNum w:abstractNumId="2" w15:restartNumberingAfterBreak="0">
    <w:nsid w:val="092C137F"/>
    <w:multiLevelType w:val="hybridMultilevel"/>
    <w:tmpl w:val="D9ECF1B8"/>
    <w:lvl w:ilvl="0" w:tplc="B4469A16">
      <w:start w:val="1"/>
      <w:numFmt w:val="decimal"/>
      <w:lvlText w:val="%1."/>
      <w:lvlJc w:val="left"/>
      <w:pPr>
        <w:ind w:left="3338" w:hanging="360"/>
      </w:pPr>
      <w:rPr>
        <w:rFonts w:ascii="Times New Roman félkövér" w:hAnsi="Times New Roman félkövér" w:hint="default"/>
        <w:b/>
        <w:i w:val="0"/>
        <w:caps w:val="0"/>
        <w:strike w:val="0"/>
        <w:dstrike w:val="0"/>
        <w:vanish w:val="0"/>
        <w:sz w:val="18"/>
        <w:szCs w:val="18"/>
        <w:vertAlign w:val="baseline"/>
      </w:rPr>
    </w:lvl>
    <w:lvl w:ilvl="1" w:tplc="040E0019" w:tentative="1">
      <w:start w:val="1"/>
      <w:numFmt w:val="lowerLetter"/>
      <w:lvlText w:val="%2."/>
      <w:lvlJc w:val="left"/>
      <w:pPr>
        <w:ind w:left="4058" w:hanging="360"/>
      </w:pPr>
    </w:lvl>
    <w:lvl w:ilvl="2" w:tplc="040E001B" w:tentative="1">
      <w:start w:val="1"/>
      <w:numFmt w:val="lowerRoman"/>
      <w:lvlText w:val="%3."/>
      <w:lvlJc w:val="right"/>
      <w:pPr>
        <w:ind w:left="4778" w:hanging="180"/>
      </w:pPr>
    </w:lvl>
    <w:lvl w:ilvl="3" w:tplc="040E000F" w:tentative="1">
      <w:start w:val="1"/>
      <w:numFmt w:val="decimal"/>
      <w:lvlText w:val="%4."/>
      <w:lvlJc w:val="left"/>
      <w:pPr>
        <w:ind w:left="5498" w:hanging="360"/>
      </w:pPr>
    </w:lvl>
    <w:lvl w:ilvl="4" w:tplc="040E0019" w:tentative="1">
      <w:start w:val="1"/>
      <w:numFmt w:val="lowerLetter"/>
      <w:lvlText w:val="%5."/>
      <w:lvlJc w:val="left"/>
      <w:pPr>
        <w:ind w:left="6218" w:hanging="360"/>
      </w:pPr>
    </w:lvl>
    <w:lvl w:ilvl="5" w:tplc="040E001B" w:tentative="1">
      <w:start w:val="1"/>
      <w:numFmt w:val="lowerRoman"/>
      <w:lvlText w:val="%6."/>
      <w:lvlJc w:val="right"/>
      <w:pPr>
        <w:ind w:left="6938" w:hanging="180"/>
      </w:pPr>
    </w:lvl>
    <w:lvl w:ilvl="6" w:tplc="040E000F" w:tentative="1">
      <w:start w:val="1"/>
      <w:numFmt w:val="decimal"/>
      <w:lvlText w:val="%7."/>
      <w:lvlJc w:val="left"/>
      <w:pPr>
        <w:ind w:left="7658" w:hanging="360"/>
      </w:pPr>
    </w:lvl>
    <w:lvl w:ilvl="7" w:tplc="040E0019" w:tentative="1">
      <w:start w:val="1"/>
      <w:numFmt w:val="lowerLetter"/>
      <w:lvlText w:val="%8."/>
      <w:lvlJc w:val="left"/>
      <w:pPr>
        <w:ind w:left="8378" w:hanging="360"/>
      </w:pPr>
    </w:lvl>
    <w:lvl w:ilvl="8" w:tplc="040E001B" w:tentative="1">
      <w:start w:val="1"/>
      <w:numFmt w:val="lowerRoman"/>
      <w:lvlText w:val="%9."/>
      <w:lvlJc w:val="right"/>
      <w:pPr>
        <w:ind w:left="9098" w:hanging="180"/>
      </w:pPr>
    </w:lvl>
  </w:abstractNum>
  <w:abstractNum w:abstractNumId="3" w15:restartNumberingAfterBreak="0">
    <w:nsid w:val="16090C95"/>
    <w:multiLevelType w:val="hybridMultilevel"/>
    <w:tmpl w:val="7CB002B4"/>
    <w:lvl w:ilvl="0" w:tplc="F2C4088E">
      <w:start w:val="4"/>
      <w:numFmt w:val="decimal"/>
      <w:lvlText w:val="%1."/>
      <w:lvlJc w:val="left"/>
      <w:pPr>
        <w:ind w:left="720" w:hanging="360"/>
      </w:pPr>
      <w:rPr>
        <w:rFonts w:hint="default"/>
        <w:b/>
        <w:color w:val="auto"/>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1D4A5EBC"/>
    <w:multiLevelType w:val="multilevel"/>
    <w:tmpl w:val="040E001D"/>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36812B6"/>
    <w:multiLevelType w:val="hybridMultilevel"/>
    <w:tmpl w:val="EA9E4994"/>
    <w:lvl w:ilvl="0" w:tplc="0AD2918A">
      <w:start w:val="1"/>
      <w:numFmt w:val="decimal"/>
      <w:lvlText w:val="%1."/>
      <w:lvlJc w:val="left"/>
      <w:pPr>
        <w:ind w:left="720" w:hanging="360"/>
      </w:pPr>
      <w:rPr>
        <w:rFonts w:hint="default"/>
        <w:b/>
        <w:sz w:val="24"/>
        <w:szCs w:val="24"/>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257B2AA0"/>
    <w:multiLevelType w:val="hybridMultilevel"/>
    <w:tmpl w:val="E42E6566"/>
    <w:lvl w:ilvl="0" w:tplc="6E3EC02E">
      <w:start w:val="1"/>
      <w:numFmt w:val="decimal"/>
      <w:lvlText w:val="%1."/>
      <w:lvlJc w:val="left"/>
      <w:pPr>
        <w:ind w:left="720" w:hanging="360"/>
      </w:pPr>
      <w:rPr>
        <w:b/>
        <w:sz w:val="18"/>
        <w:szCs w:val="1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35512657"/>
    <w:multiLevelType w:val="hybridMultilevel"/>
    <w:tmpl w:val="D1346E30"/>
    <w:lvl w:ilvl="0" w:tplc="924E44C0">
      <w:start w:val="1"/>
      <w:numFmt w:val="decimal"/>
      <w:lvlText w:val="%1."/>
      <w:lvlJc w:val="left"/>
      <w:pPr>
        <w:ind w:left="360" w:hanging="360"/>
      </w:pPr>
      <w:rPr>
        <w:rFonts w:hint="default"/>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8" w15:restartNumberingAfterBreak="0">
    <w:nsid w:val="38E56DAD"/>
    <w:multiLevelType w:val="hybridMultilevel"/>
    <w:tmpl w:val="71A42DF4"/>
    <w:lvl w:ilvl="0" w:tplc="5A0A9E06">
      <w:start w:val="6"/>
      <w:numFmt w:val="decimal"/>
      <w:lvlText w:val="%1."/>
      <w:lvlJc w:val="left"/>
      <w:pPr>
        <w:ind w:left="1080" w:hanging="360"/>
      </w:pPr>
      <w:rPr>
        <w:rFonts w:hint="default"/>
        <w:b/>
      </w:r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9" w15:restartNumberingAfterBreak="0">
    <w:nsid w:val="3E5B6528"/>
    <w:multiLevelType w:val="hybridMultilevel"/>
    <w:tmpl w:val="716A90F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19C3019"/>
    <w:multiLevelType w:val="hybridMultilevel"/>
    <w:tmpl w:val="240C6A54"/>
    <w:lvl w:ilvl="0" w:tplc="040E000F">
      <w:start w:val="10"/>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41F4650B"/>
    <w:multiLevelType w:val="multilevel"/>
    <w:tmpl w:val="040E001D"/>
    <w:styleLink w:val="Stlus1"/>
    <w:lvl w:ilvl="0">
      <w:start w:val="1"/>
      <w:numFmt w:val="upperRoman"/>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8C20BC6"/>
    <w:multiLevelType w:val="hybridMultilevel"/>
    <w:tmpl w:val="8962D9EC"/>
    <w:lvl w:ilvl="0" w:tplc="987C500C">
      <w:start w:val="1"/>
      <w:numFmt w:val="upperRoman"/>
      <w:lvlText w:val="%1."/>
      <w:lvlJc w:val="left"/>
      <w:pPr>
        <w:ind w:left="360" w:hanging="360"/>
      </w:pPr>
      <w:rPr>
        <w:rFonts w:ascii="Times New Roman félkövér" w:hAnsi="Times New Roman félkövér" w:hint="default"/>
        <w:b/>
        <w:i w:val="0"/>
        <w:caps w:val="0"/>
        <w:strike w:val="0"/>
        <w:dstrike w:val="0"/>
        <w:vanish w:val="0"/>
        <w:sz w:val="24"/>
        <w:vertAlign w:val="baselin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13" w15:restartNumberingAfterBreak="0">
    <w:nsid w:val="4A8527F1"/>
    <w:multiLevelType w:val="hybridMultilevel"/>
    <w:tmpl w:val="ECC4B1D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B497590"/>
    <w:multiLevelType w:val="multilevel"/>
    <w:tmpl w:val="040E001D"/>
    <w:numStyleLink w:val="Stlus1"/>
  </w:abstractNum>
  <w:abstractNum w:abstractNumId="15" w15:restartNumberingAfterBreak="0">
    <w:nsid w:val="716A3C8A"/>
    <w:multiLevelType w:val="hybridMultilevel"/>
    <w:tmpl w:val="8962D9EC"/>
    <w:lvl w:ilvl="0" w:tplc="987C500C">
      <w:start w:val="1"/>
      <w:numFmt w:val="upperRoman"/>
      <w:lvlText w:val="%1."/>
      <w:lvlJc w:val="left"/>
      <w:pPr>
        <w:ind w:left="360" w:hanging="360"/>
      </w:pPr>
      <w:rPr>
        <w:rFonts w:ascii="Times New Roman félkövér" w:hAnsi="Times New Roman félkövér" w:hint="default"/>
        <w:b/>
        <w:i w:val="0"/>
        <w:caps w:val="0"/>
        <w:strike w:val="0"/>
        <w:dstrike w:val="0"/>
        <w:vanish w:val="0"/>
        <w:sz w:val="24"/>
        <w:vertAlign w:val="baseline"/>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num w:numId="1">
    <w:abstractNumId w:val="15"/>
  </w:num>
  <w:num w:numId="2">
    <w:abstractNumId w:val="7"/>
  </w:num>
  <w:num w:numId="3">
    <w:abstractNumId w:val="12"/>
  </w:num>
  <w:num w:numId="4">
    <w:abstractNumId w:val="11"/>
  </w:num>
  <w:num w:numId="5">
    <w:abstractNumId w:val="14"/>
  </w:num>
  <w:num w:numId="6">
    <w:abstractNumId w:val="1"/>
    <w:lvlOverride w:ilvl="0">
      <w:lvl w:ilvl="0">
        <w:start w:val="1"/>
        <w:numFmt w:val="upperRoman"/>
        <w:lvlText w:val="%1)"/>
        <w:lvlJc w:val="left"/>
        <w:pPr>
          <w:ind w:left="360" w:hanging="360"/>
        </w:pPr>
      </w:lvl>
    </w:lvlOverride>
  </w:num>
  <w:num w:numId="7">
    <w:abstractNumId w:val="4"/>
  </w:num>
  <w:num w:numId="8">
    <w:abstractNumId w:val="2"/>
  </w:num>
  <w:num w:numId="9">
    <w:abstractNumId w:val="5"/>
  </w:num>
  <w:num w:numId="10">
    <w:abstractNumId w:val="3"/>
  </w:num>
  <w:num w:numId="11">
    <w:abstractNumId w:val="13"/>
  </w:num>
  <w:num w:numId="12">
    <w:abstractNumId w:val="0"/>
  </w:num>
  <w:num w:numId="13">
    <w:abstractNumId w:val="10"/>
  </w:num>
  <w:num w:numId="14">
    <w:abstractNumId w:val="8"/>
  </w:num>
  <w:num w:numId="15">
    <w:abstractNumId w:val="6"/>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AFA"/>
    <w:rsid w:val="00001010"/>
    <w:rsid w:val="0000150B"/>
    <w:rsid w:val="00001553"/>
    <w:rsid w:val="00002B0F"/>
    <w:rsid w:val="00002DA6"/>
    <w:rsid w:val="0000449B"/>
    <w:rsid w:val="0000491A"/>
    <w:rsid w:val="000053E9"/>
    <w:rsid w:val="000063FF"/>
    <w:rsid w:val="000069BA"/>
    <w:rsid w:val="00006A58"/>
    <w:rsid w:val="00006F1E"/>
    <w:rsid w:val="0000740B"/>
    <w:rsid w:val="00010955"/>
    <w:rsid w:val="00012179"/>
    <w:rsid w:val="000123BE"/>
    <w:rsid w:val="00012B39"/>
    <w:rsid w:val="000135A7"/>
    <w:rsid w:val="00013BD5"/>
    <w:rsid w:val="0001411F"/>
    <w:rsid w:val="000167B5"/>
    <w:rsid w:val="00016A30"/>
    <w:rsid w:val="00016EF4"/>
    <w:rsid w:val="00017A0A"/>
    <w:rsid w:val="00020AEB"/>
    <w:rsid w:val="00020BD1"/>
    <w:rsid w:val="00020CA6"/>
    <w:rsid w:val="00020FF4"/>
    <w:rsid w:val="00021090"/>
    <w:rsid w:val="00021271"/>
    <w:rsid w:val="00021C39"/>
    <w:rsid w:val="00022557"/>
    <w:rsid w:val="00022E24"/>
    <w:rsid w:val="000242A2"/>
    <w:rsid w:val="00024487"/>
    <w:rsid w:val="000246C7"/>
    <w:rsid w:val="000249CA"/>
    <w:rsid w:val="00024F8F"/>
    <w:rsid w:val="000258E8"/>
    <w:rsid w:val="00026972"/>
    <w:rsid w:val="000271CB"/>
    <w:rsid w:val="00030B25"/>
    <w:rsid w:val="00031F79"/>
    <w:rsid w:val="00033471"/>
    <w:rsid w:val="0003618F"/>
    <w:rsid w:val="00037276"/>
    <w:rsid w:val="00037663"/>
    <w:rsid w:val="00037EB6"/>
    <w:rsid w:val="00041756"/>
    <w:rsid w:val="00041CF3"/>
    <w:rsid w:val="000426F9"/>
    <w:rsid w:val="00043A6A"/>
    <w:rsid w:val="00045127"/>
    <w:rsid w:val="00046487"/>
    <w:rsid w:val="00047194"/>
    <w:rsid w:val="000472CA"/>
    <w:rsid w:val="000479E3"/>
    <w:rsid w:val="00047F0A"/>
    <w:rsid w:val="0005239A"/>
    <w:rsid w:val="0005264A"/>
    <w:rsid w:val="00052A71"/>
    <w:rsid w:val="00052EFE"/>
    <w:rsid w:val="0005366B"/>
    <w:rsid w:val="0005485C"/>
    <w:rsid w:val="000558B9"/>
    <w:rsid w:val="000563EF"/>
    <w:rsid w:val="00056608"/>
    <w:rsid w:val="00056719"/>
    <w:rsid w:val="00056C25"/>
    <w:rsid w:val="000571C4"/>
    <w:rsid w:val="00057E07"/>
    <w:rsid w:val="0006051C"/>
    <w:rsid w:val="00060632"/>
    <w:rsid w:val="00060E6C"/>
    <w:rsid w:val="00061BBB"/>
    <w:rsid w:val="00061CFF"/>
    <w:rsid w:val="00062747"/>
    <w:rsid w:val="00063DE8"/>
    <w:rsid w:val="000640ED"/>
    <w:rsid w:val="000647EE"/>
    <w:rsid w:val="00066BD9"/>
    <w:rsid w:val="00067824"/>
    <w:rsid w:val="00070A89"/>
    <w:rsid w:val="00071606"/>
    <w:rsid w:val="00072CF3"/>
    <w:rsid w:val="0007435E"/>
    <w:rsid w:val="00074E69"/>
    <w:rsid w:val="00080513"/>
    <w:rsid w:val="000819D4"/>
    <w:rsid w:val="00082339"/>
    <w:rsid w:val="00082451"/>
    <w:rsid w:val="00082932"/>
    <w:rsid w:val="00083379"/>
    <w:rsid w:val="0008382C"/>
    <w:rsid w:val="00083BE0"/>
    <w:rsid w:val="00083F04"/>
    <w:rsid w:val="00086202"/>
    <w:rsid w:val="00086E44"/>
    <w:rsid w:val="000923CA"/>
    <w:rsid w:val="00093667"/>
    <w:rsid w:val="00093A2B"/>
    <w:rsid w:val="0009412A"/>
    <w:rsid w:val="000948FE"/>
    <w:rsid w:val="00095F95"/>
    <w:rsid w:val="00097645"/>
    <w:rsid w:val="000A0614"/>
    <w:rsid w:val="000A07C9"/>
    <w:rsid w:val="000A0C37"/>
    <w:rsid w:val="000A24C3"/>
    <w:rsid w:val="000A2E9A"/>
    <w:rsid w:val="000A39A8"/>
    <w:rsid w:val="000A4DA9"/>
    <w:rsid w:val="000A549C"/>
    <w:rsid w:val="000A5A99"/>
    <w:rsid w:val="000A5E02"/>
    <w:rsid w:val="000A6397"/>
    <w:rsid w:val="000A66D3"/>
    <w:rsid w:val="000A69B3"/>
    <w:rsid w:val="000A7A5D"/>
    <w:rsid w:val="000B03C0"/>
    <w:rsid w:val="000B0F1B"/>
    <w:rsid w:val="000B19F6"/>
    <w:rsid w:val="000B21FE"/>
    <w:rsid w:val="000B2324"/>
    <w:rsid w:val="000B26DE"/>
    <w:rsid w:val="000B2BDC"/>
    <w:rsid w:val="000B2D88"/>
    <w:rsid w:val="000B2E37"/>
    <w:rsid w:val="000B40A2"/>
    <w:rsid w:val="000B43A2"/>
    <w:rsid w:val="000B4622"/>
    <w:rsid w:val="000B4C7C"/>
    <w:rsid w:val="000B60A2"/>
    <w:rsid w:val="000B66E0"/>
    <w:rsid w:val="000B6C90"/>
    <w:rsid w:val="000B7E1C"/>
    <w:rsid w:val="000C082B"/>
    <w:rsid w:val="000C0B09"/>
    <w:rsid w:val="000C0F56"/>
    <w:rsid w:val="000C1628"/>
    <w:rsid w:val="000C1B32"/>
    <w:rsid w:val="000C22A9"/>
    <w:rsid w:val="000C309C"/>
    <w:rsid w:val="000C3B26"/>
    <w:rsid w:val="000C440D"/>
    <w:rsid w:val="000C441F"/>
    <w:rsid w:val="000C69ED"/>
    <w:rsid w:val="000C71AE"/>
    <w:rsid w:val="000D078D"/>
    <w:rsid w:val="000D275B"/>
    <w:rsid w:val="000D2D67"/>
    <w:rsid w:val="000D3409"/>
    <w:rsid w:val="000D4D0B"/>
    <w:rsid w:val="000D6262"/>
    <w:rsid w:val="000D6DB8"/>
    <w:rsid w:val="000D7125"/>
    <w:rsid w:val="000D751A"/>
    <w:rsid w:val="000E011A"/>
    <w:rsid w:val="000E022A"/>
    <w:rsid w:val="000E058A"/>
    <w:rsid w:val="000E1A0A"/>
    <w:rsid w:val="000E391A"/>
    <w:rsid w:val="000E3FF3"/>
    <w:rsid w:val="000E572B"/>
    <w:rsid w:val="000E5C32"/>
    <w:rsid w:val="000E5E1B"/>
    <w:rsid w:val="000E6CD4"/>
    <w:rsid w:val="000E7986"/>
    <w:rsid w:val="000E7989"/>
    <w:rsid w:val="000E7FEC"/>
    <w:rsid w:val="000F0801"/>
    <w:rsid w:val="000F21A5"/>
    <w:rsid w:val="000F297B"/>
    <w:rsid w:val="000F4B7E"/>
    <w:rsid w:val="000F54FA"/>
    <w:rsid w:val="000F5A29"/>
    <w:rsid w:val="000F5DD4"/>
    <w:rsid w:val="000F6565"/>
    <w:rsid w:val="000F6A74"/>
    <w:rsid w:val="000F6C27"/>
    <w:rsid w:val="000F6EC5"/>
    <w:rsid w:val="000F711C"/>
    <w:rsid w:val="000F742C"/>
    <w:rsid w:val="000F761A"/>
    <w:rsid w:val="001014E8"/>
    <w:rsid w:val="001016E2"/>
    <w:rsid w:val="00102146"/>
    <w:rsid w:val="00103F44"/>
    <w:rsid w:val="00105211"/>
    <w:rsid w:val="00112AB2"/>
    <w:rsid w:val="001133B6"/>
    <w:rsid w:val="00115CBA"/>
    <w:rsid w:val="0011779F"/>
    <w:rsid w:val="00122243"/>
    <w:rsid w:val="00122621"/>
    <w:rsid w:val="00122C44"/>
    <w:rsid w:val="001231F5"/>
    <w:rsid w:val="00124517"/>
    <w:rsid w:val="00124542"/>
    <w:rsid w:val="00125DDD"/>
    <w:rsid w:val="001273C4"/>
    <w:rsid w:val="001274EC"/>
    <w:rsid w:val="00127AAF"/>
    <w:rsid w:val="00132654"/>
    <w:rsid w:val="001329D0"/>
    <w:rsid w:val="00132EA6"/>
    <w:rsid w:val="0013402A"/>
    <w:rsid w:val="001347AE"/>
    <w:rsid w:val="0013618F"/>
    <w:rsid w:val="00136785"/>
    <w:rsid w:val="0013684B"/>
    <w:rsid w:val="00137BF2"/>
    <w:rsid w:val="00137E59"/>
    <w:rsid w:val="00137FC7"/>
    <w:rsid w:val="00140033"/>
    <w:rsid w:val="00140DD2"/>
    <w:rsid w:val="00142FE0"/>
    <w:rsid w:val="00143792"/>
    <w:rsid w:val="0014396D"/>
    <w:rsid w:val="00144911"/>
    <w:rsid w:val="00144A26"/>
    <w:rsid w:val="00144AAF"/>
    <w:rsid w:val="00145D6F"/>
    <w:rsid w:val="00147F25"/>
    <w:rsid w:val="0015003C"/>
    <w:rsid w:val="00150C73"/>
    <w:rsid w:val="00150D81"/>
    <w:rsid w:val="00151366"/>
    <w:rsid w:val="00151B78"/>
    <w:rsid w:val="001528F0"/>
    <w:rsid w:val="001538B2"/>
    <w:rsid w:val="00153ACC"/>
    <w:rsid w:val="00155BBB"/>
    <w:rsid w:val="00155F6B"/>
    <w:rsid w:val="001571B0"/>
    <w:rsid w:val="001624B0"/>
    <w:rsid w:val="001624B9"/>
    <w:rsid w:val="001667CD"/>
    <w:rsid w:val="0017048D"/>
    <w:rsid w:val="00171691"/>
    <w:rsid w:val="001717B9"/>
    <w:rsid w:val="001724EA"/>
    <w:rsid w:val="00174D6F"/>
    <w:rsid w:val="00175593"/>
    <w:rsid w:val="001759A7"/>
    <w:rsid w:val="00175ABE"/>
    <w:rsid w:val="001764EE"/>
    <w:rsid w:val="0017678A"/>
    <w:rsid w:val="001805CA"/>
    <w:rsid w:val="00180FDF"/>
    <w:rsid w:val="0018424A"/>
    <w:rsid w:val="001844C0"/>
    <w:rsid w:val="00185950"/>
    <w:rsid w:val="00185BF4"/>
    <w:rsid w:val="00185DF3"/>
    <w:rsid w:val="00186E95"/>
    <w:rsid w:val="00190DEA"/>
    <w:rsid w:val="00192B1C"/>
    <w:rsid w:val="00192C32"/>
    <w:rsid w:val="00192F49"/>
    <w:rsid w:val="001939D3"/>
    <w:rsid w:val="00194EE6"/>
    <w:rsid w:val="00195895"/>
    <w:rsid w:val="00197E1A"/>
    <w:rsid w:val="001A02B1"/>
    <w:rsid w:val="001A031C"/>
    <w:rsid w:val="001A1073"/>
    <w:rsid w:val="001A1138"/>
    <w:rsid w:val="001A24CE"/>
    <w:rsid w:val="001A304A"/>
    <w:rsid w:val="001A3124"/>
    <w:rsid w:val="001A3A03"/>
    <w:rsid w:val="001A3D9F"/>
    <w:rsid w:val="001B3189"/>
    <w:rsid w:val="001B4A4D"/>
    <w:rsid w:val="001B4D0F"/>
    <w:rsid w:val="001B639E"/>
    <w:rsid w:val="001B69AD"/>
    <w:rsid w:val="001B7D09"/>
    <w:rsid w:val="001C34AC"/>
    <w:rsid w:val="001C59CE"/>
    <w:rsid w:val="001C646B"/>
    <w:rsid w:val="001C65D7"/>
    <w:rsid w:val="001D0386"/>
    <w:rsid w:val="001D0510"/>
    <w:rsid w:val="001D05AD"/>
    <w:rsid w:val="001D0A4F"/>
    <w:rsid w:val="001D1378"/>
    <w:rsid w:val="001D2350"/>
    <w:rsid w:val="001D2D8C"/>
    <w:rsid w:val="001D4D48"/>
    <w:rsid w:val="001D5801"/>
    <w:rsid w:val="001D7858"/>
    <w:rsid w:val="001E03F1"/>
    <w:rsid w:val="001E08D5"/>
    <w:rsid w:val="001E1C1D"/>
    <w:rsid w:val="001E248F"/>
    <w:rsid w:val="001E2518"/>
    <w:rsid w:val="001E253E"/>
    <w:rsid w:val="001E33BB"/>
    <w:rsid w:val="001E36F0"/>
    <w:rsid w:val="001E3F99"/>
    <w:rsid w:val="001E4048"/>
    <w:rsid w:val="001E52CD"/>
    <w:rsid w:val="001E577E"/>
    <w:rsid w:val="001E59B4"/>
    <w:rsid w:val="001E61E8"/>
    <w:rsid w:val="001F1C13"/>
    <w:rsid w:val="001F4D10"/>
    <w:rsid w:val="001F634B"/>
    <w:rsid w:val="001F6788"/>
    <w:rsid w:val="001F680C"/>
    <w:rsid w:val="001F788D"/>
    <w:rsid w:val="00200A9A"/>
    <w:rsid w:val="002013E3"/>
    <w:rsid w:val="002015C6"/>
    <w:rsid w:val="00201DB1"/>
    <w:rsid w:val="002032A1"/>
    <w:rsid w:val="00203A10"/>
    <w:rsid w:val="00204340"/>
    <w:rsid w:val="002059EE"/>
    <w:rsid w:val="00205C4B"/>
    <w:rsid w:val="00206ED0"/>
    <w:rsid w:val="00210764"/>
    <w:rsid w:val="0021294B"/>
    <w:rsid w:val="00215BFC"/>
    <w:rsid w:val="00216E2B"/>
    <w:rsid w:val="002173A6"/>
    <w:rsid w:val="00220604"/>
    <w:rsid w:val="00220C0B"/>
    <w:rsid w:val="00220FDF"/>
    <w:rsid w:val="0022126B"/>
    <w:rsid w:val="00221901"/>
    <w:rsid w:val="00222081"/>
    <w:rsid w:val="00222958"/>
    <w:rsid w:val="002234AD"/>
    <w:rsid w:val="002242BC"/>
    <w:rsid w:val="002242C3"/>
    <w:rsid w:val="00225BF7"/>
    <w:rsid w:val="002275D3"/>
    <w:rsid w:val="0023169C"/>
    <w:rsid w:val="00232249"/>
    <w:rsid w:val="00234740"/>
    <w:rsid w:val="00235476"/>
    <w:rsid w:val="0023586F"/>
    <w:rsid w:val="00235A04"/>
    <w:rsid w:val="00235F74"/>
    <w:rsid w:val="00236420"/>
    <w:rsid w:val="00237D78"/>
    <w:rsid w:val="0024247C"/>
    <w:rsid w:val="0024382F"/>
    <w:rsid w:val="00245A47"/>
    <w:rsid w:val="00245C0A"/>
    <w:rsid w:val="00245E4A"/>
    <w:rsid w:val="00246E86"/>
    <w:rsid w:val="00246EB1"/>
    <w:rsid w:val="002515FC"/>
    <w:rsid w:val="0025168D"/>
    <w:rsid w:val="002516DE"/>
    <w:rsid w:val="0025567B"/>
    <w:rsid w:val="00255F76"/>
    <w:rsid w:val="0025641E"/>
    <w:rsid w:val="00256D26"/>
    <w:rsid w:val="002602E0"/>
    <w:rsid w:val="002605E5"/>
    <w:rsid w:val="0026239F"/>
    <w:rsid w:val="00262903"/>
    <w:rsid w:val="00262924"/>
    <w:rsid w:val="002633E8"/>
    <w:rsid w:val="00264DF7"/>
    <w:rsid w:val="002661CA"/>
    <w:rsid w:val="00267851"/>
    <w:rsid w:val="00267CBB"/>
    <w:rsid w:val="002701B1"/>
    <w:rsid w:val="002739AE"/>
    <w:rsid w:val="00273BB8"/>
    <w:rsid w:val="00275A96"/>
    <w:rsid w:val="002766DE"/>
    <w:rsid w:val="00276812"/>
    <w:rsid w:val="002773A3"/>
    <w:rsid w:val="00277EDE"/>
    <w:rsid w:val="00281AC5"/>
    <w:rsid w:val="0028204A"/>
    <w:rsid w:val="0028326E"/>
    <w:rsid w:val="00283307"/>
    <w:rsid w:val="00286B3D"/>
    <w:rsid w:val="00287056"/>
    <w:rsid w:val="00287A60"/>
    <w:rsid w:val="0029017F"/>
    <w:rsid w:val="002918A0"/>
    <w:rsid w:val="00291B0E"/>
    <w:rsid w:val="00292FBD"/>
    <w:rsid w:val="00293151"/>
    <w:rsid w:val="00293167"/>
    <w:rsid w:val="00293258"/>
    <w:rsid w:val="00293FAD"/>
    <w:rsid w:val="002950E1"/>
    <w:rsid w:val="00296DCA"/>
    <w:rsid w:val="002A0621"/>
    <w:rsid w:val="002A1612"/>
    <w:rsid w:val="002A20FD"/>
    <w:rsid w:val="002A2290"/>
    <w:rsid w:val="002A28F5"/>
    <w:rsid w:val="002A2D3A"/>
    <w:rsid w:val="002A3AB5"/>
    <w:rsid w:val="002A464C"/>
    <w:rsid w:val="002A5657"/>
    <w:rsid w:val="002B0785"/>
    <w:rsid w:val="002B098E"/>
    <w:rsid w:val="002B0ADF"/>
    <w:rsid w:val="002B2173"/>
    <w:rsid w:val="002B33FE"/>
    <w:rsid w:val="002B376B"/>
    <w:rsid w:val="002B4491"/>
    <w:rsid w:val="002B5667"/>
    <w:rsid w:val="002B5A69"/>
    <w:rsid w:val="002B7646"/>
    <w:rsid w:val="002B764D"/>
    <w:rsid w:val="002B7855"/>
    <w:rsid w:val="002B7DFB"/>
    <w:rsid w:val="002C0906"/>
    <w:rsid w:val="002C0DE0"/>
    <w:rsid w:val="002C3161"/>
    <w:rsid w:val="002C39CB"/>
    <w:rsid w:val="002C5B10"/>
    <w:rsid w:val="002C6F09"/>
    <w:rsid w:val="002C7ED2"/>
    <w:rsid w:val="002D451D"/>
    <w:rsid w:val="002D4E1F"/>
    <w:rsid w:val="002D5BF0"/>
    <w:rsid w:val="002D73FA"/>
    <w:rsid w:val="002D7779"/>
    <w:rsid w:val="002E06F8"/>
    <w:rsid w:val="002E082F"/>
    <w:rsid w:val="002E26E9"/>
    <w:rsid w:val="002E372F"/>
    <w:rsid w:val="002E40C2"/>
    <w:rsid w:val="002E6987"/>
    <w:rsid w:val="002E6CDB"/>
    <w:rsid w:val="002F2A07"/>
    <w:rsid w:val="002F3DA4"/>
    <w:rsid w:val="002F3F04"/>
    <w:rsid w:val="002F47A1"/>
    <w:rsid w:val="002F4DEF"/>
    <w:rsid w:val="002F5450"/>
    <w:rsid w:val="002F59F6"/>
    <w:rsid w:val="002F757D"/>
    <w:rsid w:val="002F7706"/>
    <w:rsid w:val="00301D10"/>
    <w:rsid w:val="00302A4D"/>
    <w:rsid w:val="00302F57"/>
    <w:rsid w:val="003035E9"/>
    <w:rsid w:val="00303E33"/>
    <w:rsid w:val="00304006"/>
    <w:rsid w:val="0030449C"/>
    <w:rsid w:val="003048BE"/>
    <w:rsid w:val="0030552C"/>
    <w:rsid w:val="00305B31"/>
    <w:rsid w:val="003063B6"/>
    <w:rsid w:val="0030652B"/>
    <w:rsid w:val="00306609"/>
    <w:rsid w:val="00307214"/>
    <w:rsid w:val="00307E3A"/>
    <w:rsid w:val="00310307"/>
    <w:rsid w:val="003106C4"/>
    <w:rsid w:val="00310741"/>
    <w:rsid w:val="00310DA2"/>
    <w:rsid w:val="0031135B"/>
    <w:rsid w:val="00311C9C"/>
    <w:rsid w:val="00312754"/>
    <w:rsid w:val="003137B4"/>
    <w:rsid w:val="00313C22"/>
    <w:rsid w:val="003147DB"/>
    <w:rsid w:val="00314ADD"/>
    <w:rsid w:val="0031502B"/>
    <w:rsid w:val="00315879"/>
    <w:rsid w:val="003164F5"/>
    <w:rsid w:val="003169E5"/>
    <w:rsid w:val="0031705F"/>
    <w:rsid w:val="003174D1"/>
    <w:rsid w:val="0032117E"/>
    <w:rsid w:val="003211A8"/>
    <w:rsid w:val="00321D56"/>
    <w:rsid w:val="00322291"/>
    <w:rsid w:val="00324553"/>
    <w:rsid w:val="003246D9"/>
    <w:rsid w:val="00324720"/>
    <w:rsid w:val="00330567"/>
    <w:rsid w:val="003305B4"/>
    <w:rsid w:val="00330730"/>
    <w:rsid w:val="00331B5B"/>
    <w:rsid w:val="00332235"/>
    <w:rsid w:val="003335EA"/>
    <w:rsid w:val="00333705"/>
    <w:rsid w:val="00336F95"/>
    <w:rsid w:val="003377E7"/>
    <w:rsid w:val="00337828"/>
    <w:rsid w:val="00337DBB"/>
    <w:rsid w:val="0034035B"/>
    <w:rsid w:val="00340515"/>
    <w:rsid w:val="0034084D"/>
    <w:rsid w:val="00340ACB"/>
    <w:rsid w:val="0034135A"/>
    <w:rsid w:val="00343E56"/>
    <w:rsid w:val="003450C6"/>
    <w:rsid w:val="00346173"/>
    <w:rsid w:val="003461BC"/>
    <w:rsid w:val="00346368"/>
    <w:rsid w:val="00346776"/>
    <w:rsid w:val="0035051B"/>
    <w:rsid w:val="003509E6"/>
    <w:rsid w:val="00350B09"/>
    <w:rsid w:val="0035245D"/>
    <w:rsid w:val="00352C17"/>
    <w:rsid w:val="0035358D"/>
    <w:rsid w:val="0036103F"/>
    <w:rsid w:val="00361884"/>
    <w:rsid w:val="00362D27"/>
    <w:rsid w:val="00362F1C"/>
    <w:rsid w:val="0036472C"/>
    <w:rsid w:val="00364F88"/>
    <w:rsid w:val="00365767"/>
    <w:rsid w:val="00365989"/>
    <w:rsid w:val="003661D0"/>
    <w:rsid w:val="00366BCD"/>
    <w:rsid w:val="00366E0E"/>
    <w:rsid w:val="00367625"/>
    <w:rsid w:val="00367662"/>
    <w:rsid w:val="00367817"/>
    <w:rsid w:val="00370D16"/>
    <w:rsid w:val="00371337"/>
    <w:rsid w:val="003713ED"/>
    <w:rsid w:val="00371661"/>
    <w:rsid w:val="00372506"/>
    <w:rsid w:val="00373305"/>
    <w:rsid w:val="00373D8B"/>
    <w:rsid w:val="003742AC"/>
    <w:rsid w:val="003751C6"/>
    <w:rsid w:val="00376644"/>
    <w:rsid w:val="00376AFE"/>
    <w:rsid w:val="00377B16"/>
    <w:rsid w:val="00382C15"/>
    <w:rsid w:val="003833DE"/>
    <w:rsid w:val="00385C7B"/>
    <w:rsid w:val="00386107"/>
    <w:rsid w:val="00386DD4"/>
    <w:rsid w:val="003870FF"/>
    <w:rsid w:val="003901C6"/>
    <w:rsid w:val="0039026B"/>
    <w:rsid w:val="00390FB0"/>
    <w:rsid w:val="00391E6B"/>
    <w:rsid w:val="00392611"/>
    <w:rsid w:val="00394326"/>
    <w:rsid w:val="003976F8"/>
    <w:rsid w:val="003A2891"/>
    <w:rsid w:val="003A2F86"/>
    <w:rsid w:val="003A4944"/>
    <w:rsid w:val="003A58BC"/>
    <w:rsid w:val="003A59D9"/>
    <w:rsid w:val="003A68D4"/>
    <w:rsid w:val="003B0455"/>
    <w:rsid w:val="003B158A"/>
    <w:rsid w:val="003B2B6F"/>
    <w:rsid w:val="003B2EE6"/>
    <w:rsid w:val="003B492A"/>
    <w:rsid w:val="003B4AE5"/>
    <w:rsid w:val="003B608D"/>
    <w:rsid w:val="003B6ED7"/>
    <w:rsid w:val="003B75E7"/>
    <w:rsid w:val="003C02DF"/>
    <w:rsid w:val="003C08DF"/>
    <w:rsid w:val="003C11DF"/>
    <w:rsid w:val="003C150E"/>
    <w:rsid w:val="003C153A"/>
    <w:rsid w:val="003C2A49"/>
    <w:rsid w:val="003C5487"/>
    <w:rsid w:val="003C5D94"/>
    <w:rsid w:val="003C6711"/>
    <w:rsid w:val="003C7652"/>
    <w:rsid w:val="003D0AFA"/>
    <w:rsid w:val="003D19AD"/>
    <w:rsid w:val="003D323F"/>
    <w:rsid w:val="003D5C05"/>
    <w:rsid w:val="003D6A36"/>
    <w:rsid w:val="003D6F76"/>
    <w:rsid w:val="003D7F46"/>
    <w:rsid w:val="003E06D4"/>
    <w:rsid w:val="003E0CEF"/>
    <w:rsid w:val="003E195A"/>
    <w:rsid w:val="003E1BEF"/>
    <w:rsid w:val="003E28CE"/>
    <w:rsid w:val="003E2DBD"/>
    <w:rsid w:val="003E3C7F"/>
    <w:rsid w:val="003E3D40"/>
    <w:rsid w:val="003E5C99"/>
    <w:rsid w:val="003E6B71"/>
    <w:rsid w:val="003E6C24"/>
    <w:rsid w:val="003E6FD9"/>
    <w:rsid w:val="003E74B4"/>
    <w:rsid w:val="003F1D59"/>
    <w:rsid w:val="003F2246"/>
    <w:rsid w:val="003F3070"/>
    <w:rsid w:val="003F3601"/>
    <w:rsid w:val="003F3C9F"/>
    <w:rsid w:val="003F4E44"/>
    <w:rsid w:val="003F694F"/>
    <w:rsid w:val="003F6DD5"/>
    <w:rsid w:val="003F745D"/>
    <w:rsid w:val="00401158"/>
    <w:rsid w:val="00403497"/>
    <w:rsid w:val="00403B18"/>
    <w:rsid w:val="0040540A"/>
    <w:rsid w:val="00407DF5"/>
    <w:rsid w:val="00411073"/>
    <w:rsid w:val="00411919"/>
    <w:rsid w:val="00413194"/>
    <w:rsid w:val="00415AD9"/>
    <w:rsid w:val="00415EB8"/>
    <w:rsid w:val="004165A4"/>
    <w:rsid w:val="00416E25"/>
    <w:rsid w:val="00417C9B"/>
    <w:rsid w:val="004216F7"/>
    <w:rsid w:val="00421BBE"/>
    <w:rsid w:val="00423D16"/>
    <w:rsid w:val="004249BD"/>
    <w:rsid w:val="00425641"/>
    <w:rsid w:val="00425AF9"/>
    <w:rsid w:val="0042766B"/>
    <w:rsid w:val="00432EFF"/>
    <w:rsid w:val="0043305A"/>
    <w:rsid w:val="004347E3"/>
    <w:rsid w:val="00434FEB"/>
    <w:rsid w:val="0043597C"/>
    <w:rsid w:val="0043633A"/>
    <w:rsid w:val="0043677E"/>
    <w:rsid w:val="004369D3"/>
    <w:rsid w:val="00437F03"/>
    <w:rsid w:val="00440C55"/>
    <w:rsid w:val="00440FB4"/>
    <w:rsid w:val="00441493"/>
    <w:rsid w:val="00441FCF"/>
    <w:rsid w:val="00443876"/>
    <w:rsid w:val="00443B28"/>
    <w:rsid w:val="004441DF"/>
    <w:rsid w:val="00444210"/>
    <w:rsid w:val="00444A19"/>
    <w:rsid w:val="004459EF"/>
    <w:rsid w:val="0044714F"/>
    <w:rsid w:val="004473BF"/>
    <w:rsid w:val="00450C5C"/>
    <w:rsid w:val="00451053"/>
    <w:rsid w:val="00453A61"/>
    <w:rsid w:val="00454AB2"/>
    <w:rsid w:val="00454D67"/>
    <w:rsid w:val="0045735E"/>
    <w:rsid w:val="00460526"/>
    <w:rsid w:val="00461833"/>
    <w:rsid w:val="00462A54"/>
    <w:rsid w:val="00462DFE"/>
    <w:rsid w:val="00463F53"/>
    <w:rsid w:val="00464A0D"/>
    <w:rsid w:val="00466098"/>
    <w:rsid w:val="00471212"/>
    <w:rsid w:val="00472437"/>
    <w:rsid w:val="004750E0"/>
    <w:rsid w:val="00475593"/>
    <w:rsid w:val="00480C51"/>
    <w:rsid w:val="0048167E"/>
    <w:rsid w:val="00481777"/>
    <w:rsid w:val="00482725"/>
    <w:rsid w:val="00482807"/>
    <w:rsid w:val="00482D11"/>
    <w:rsid w:val="0048302C"/>
    <w:rsid w:val="004836F5"/>
    <w:rsid w:val="0048434A"/>
    <w:rsid w:val="00484454"/>
    <w:rsid w:val="00484564"/>
    <w:rsid w:val="00486522"/>
    <w:rsid w:val="0048695F"/>
    <w:rsid w:val="00487025"/>
    <w:rsid w:val="00490982"/>
    <w:rsid w:val="00490B2F"/>
    <w:rsid w:val="00491DF6"/>
    <w:rsid w:val="00493460"/>
    <w:rsid w:val="004946F6"/>
    <w:rsid w:val="00494D33"/>
    <w:rsid w:val="00495816"/>
    <w:rsid w:val="00496824"/>
    <w:rsid w:val="00497449"/>
    <w:rsid w:val="00497D8C"/>
    <w:rsid w:val="00497E60"/>
    <w:rsid w:val="004A0F60"/>
    <w:rsid w:val="004A10EF"/>
    <w:rsid w:val="004A11B4"/>
    <w:rsid w:val="004A1CDD"/>
    <w:rsid w:val="004A2BC7"/>
    <w:rsid w:val="004A2BED"/>
    <w:rsid w:val="004A3522"/>
    <w:rsid w:val="004A369D"/>
    <w:rsid w:val="004A38BA"/>
    <w:rsid w:val="004A39A2"/>
    <w:rsid w:val="004A3EA0"/>
    <w:rsid w:val="004A3F01"/>
    <w:rsid w:val="004A609C"/>
    <w:rsid w:val="004A667E"/>
    <w:rsid w:val="004A7105"/>
    <w:rsid w:val="004A74C8"/>
    <w:rsid w:val="004B1240"/>
    <w:rsid w:val="004B2F8A"/>
    <w:rsid w:val="004B34C2"/>
    <w:rsid w:val="004B3D78"/>
    <w:rsid w:val="004B4075"/>
    <w:rsid w:val="004B40AA"/>
    <w:rsid w:val="004B43CF"/>
    <w:rsid w:val="004B57EC"/>
    <w:rsid w:val="004B5CA4"/>
    <w:rsid w:val="004B7696"/>
    <w:rsid w:val="004B7CF9"/>
    <w:rsid w:val="004C0CF7"/>
    <w:rsid w:val="004C1967"/>
    <w:rsid w:val="004C3137"/>
    <w:rsid w:val="004C36CC"/>
    <w:rsid w:val="004C374C"/>
    <w:rsid w:val="004C4C0C"/>
    <w:rsid w:val="004C4CA3"/>
    <w:rsid w:val="004C51D5"/>
    <w:rsid w:val="004C53B0"/>
    <w:rsid w:val="004C53E3"/>
    <w:rsid w:val="004C70A6"/>
    <w:rsid w:val="004C797F"/>
    <w:rsid w:val="004C7CC1"/>
    <w:rsid w:val="004C7CD6"/>
    <w:rsid w:val="004D0C1A"/>
    <w:rsid w:val="004D14E1"/>
    <w:rsid w:val="004D173D"/>
    <w:rsid w:val="004D4610"/>
    <w:rsid w:val="004D4C65"/>
    <w:rsid w:val="004D4DFB"/>
    <w:rsid w:val="004D5F41"/>
    <w:rsid w:val="004D65AF"/>
    <w:rsid w:val="004D6E3E"/>
    <w:rsid w:val="004D7400"/>
    <w:rsid w:val="004D7959"/>
    <w:rsid w:val="004D7E1C"/>
    <w:rsid w:val="004D7EA5"/>
    <w:rsid w:val="004E0B2C"/>
    <w:rsid w:val="004E149C"/>
    <w:rsid w:val="004E2418"/>
    <w:rsid w:val="004E3323"/>
    <w:rsid w:val="004E40F9"/>
    <w:rsid w:val="004E53B4"/>
    <w:rsid w:val="004E6346"/>
    <w:rsid w:val="004E6CA6"/>
    <w:rsid w:val="004F09B8"/>
    <w:rsid w:val="004F18B6"/>
    <w:rsid w:val="004F20E0"/>
    <w:rsid w:val="004F2D0A"/>
    <w:rsid w:val="004F3177"/>
    <w:rsid w:val="004F32DF"/>
    <w:rsid w:val="004F465A"/>
    <w:rsid w:val="004F6207"/>
    <w:rsid w:val="004F6952"/>
    <w:rsid w:val="004F6DF3"/>
    <w:rsid w:val="00500811"/>
    <w:rsid w:val="00501979"/>
    <w:rsid w:val="005035FF"/>
    <w:rsid w:val="005039AF"/>
    <w:rsid w:val="00504470"/>
    <w:rsid w:val="00504A9B"/>
    <w:rsid w:val="005111C3"/>
    <w:rsid w:val="0051137C"/>
    <w:rsid w:val="00511888"/>
    <w:rsid w:val="0051282B"/>
    <w:rsid w:val="00512A3C"/>
    <w:rsid w:val="005136DC"/>
    <w:rsid w:val="00513BB1"/>
    <w:rsid w:val="0051402B"/>
    <w:rsid w:val="005144A3"/>
    <w:rsid w:val="0051636D"/>
    <w:rsid w:val="005218B1"/>
    <w:rsid w:val="00522453"/>
    <w:rsid w:val="00522CB7"/>
    <w:rsid w:val="00522F7C"/>
    <w:rsid w:val="005239AC"/>
    <w:rsid w:val="0052462A"/>
    <w:rsid w:val="00524F53"/>
    <w:rsid w:val="0052584E"/>
    <w:rsid w:val="0052673D"/>
    <w:rsid w:val="0052695E"/>
    <w:rsid w:val="00530657"/>
    <w:rsid w:val="00530E15"/>
    <w:rsid w:val="005317C3"/>
    <w:rsid w:val="00532157"/>
    <w:rsid w:val="00534AF8"/>
    <w:rsid w:val="00534E85"/>
    <w:rsid w:val="00534F8E"/>
    <w:rsid w:val="00535435"/>
    <w:rsid w:val="00535720"/>
    <w:rsid w:val="00536621"/>
    <w:rsid w:val="005404AB"/>
    <w:rsid w:val="005411BB"/>
    <w:rsid w:val="005432DF"/>
    <w:rsid w:val="00543DCF"/>
    <w:rsid w:val="00544E9A"/>
    <w:rsid w:val="00545E19"/>
    <w:rsid w:val="0054744E"/>
    <w:rsid w:val="00547F9D"/>
    <w:rsid w:val="0055150D"/>
    <w:rsid w:val="00551C10"/>
    <w:rsid w:val="00551CFD"/>
    <w:rsid w:val="00553172"/>
    <w:rsid w:val="00553CE6"/>
    <w:rsid w:val="00556805"/>
    <w:rsid w:val="005576B0"/>
    <w:rsid w:val="005605C3"/>
    <w:rsid w:val="00561436"/>
    <w:rsid w:val="005622D5"/>
    <w:rsid w:val="00566042"/>
    <w:rsid w:val="00566E05"/>
    <w:rsid w:val="00567C36"/>
    <w:rsid w:val="005706AF"/>
    <w:rsid w:val="00570735"/>
    <w:rsid w:val="00570865"/>
    <w:rsid w:val="00570F47"/>
    <w:rsid w:val="00571035"/>
    <w:rsid w:val="00572111"/>
    <w:rsid w:val="00573036"/>
    <w:rsid w:val="00573941"/>
    <w:rsid w:val="0057438F"/>
    <w:rsid w:val="00574535"/>
    <w:rsid w:val="00575B4B"/>
    <w:rsid w:val="00577C33"/>
    <w:rsid w:val="00577EC1"/>
    <w:rsid w:val="005807B4"/>
    <w:rsid w:val="005809AB"/>
    <w:rsid w:val="00581B00"/>
    <w:rsid w:val="00581B0F"/>
    <w:rsid w:val="0058253E"/>
    <w:rsid w:val="005828DE"/>
    <w:rsid w:val="00583419"/>
    <w:rsid w:val="00584202"/>
    <w:rsid w:val="0058471A"/>
    <w:rsid w:val="00584D00"/>
    <w:rsid w:val="005852BC"/>
    <w:rsid w:val="00585C49"/>
    <w:rsid w:val="0058636D"/>
    <w:rsid w:val="005915A1"/>
    <w:rsid w:val="005919F7"/>
    <w:rsid w:val="005924E6"/>
    <w:rsid w:val="0059373B"/>
    <w:rsid w:val="00594DE0"/>
    <w:rsid w:val="00595752"/>
    <w:rsid w:val="00597964"/>
    <w:rsid w:val="00597D1C"/>
    <w:rsid w:val="005A048B"/>
    <w:rsid w:val="005A092B"/>
    <w:rsid w:val="005A0A0A"/>
    <w:rsid w:val="005A1AF6"/>
    <w:rsid w:val="005A259C"/>
    <w:rsid w:val="005A25F3"/>
    <w:rsid w:val="005A3D41"/>
    <w:rsid w:val="005A3D6D"/>
    <w:rsid w:val="005A3E9E"/>
    <w:rsid w:val="005A441A"/>
    <w:rsid w:val="005A4B59"/>
    <w:rsid w:val="005A5C73"/>
    <w:rsid w:val="005A62A2"/>
    <w:rsid w:val="005A6C3C"/>
    <w:rsid w:val="005A71D8"/>
    <w:rsid w:val="005A7690"/>
    <w:rsid w:val="005B1E2A"/>
    <w:rsid w:val="005B2701"/>
    <w:rsid w:val="005B2744"/>
    <w:rsid w:val="005B36D8"/>
    <w:rsid w:val="005B375A"/>
    <w:rsid w:val="005B3A22"/>
    <w:rsid w:val="005B5C43"/>
    <w:rsid w:val="005B761C"/>
    <w:rsid w:val="005B7F05"/>
    <w:rsid w:val="005C0DA9"/>
    <w:rsid w:val="005C0E26"/>
    <w:rsid w:val="005C1E00"/>
    <w:rsid w:val="005C22E4"/>
    <w:rsid w:val="005C3292"/>
    <w:rsid w:val="005C53E2"/>
    <w:rsid w:val="005C6254"/>
    <w:rsid w:val="005C6EF3"/>
    <w:rsid w:val="005C74FA"/>
    <w:rsid w:val="005D1357"/>
    <w:rsid w:val="005D1C88"/>
    <w:rsid w:val="005D1F57"/>
    <w:rsid w:val="005D2234"/>
    <w:rsid w:val="005D2653"/>
    <w:rsid w:val="005D373F"/>
    <w:rsid w:val="005D4393"/>
    <w:rsid w:val="005D4EE9"/>
    <w:rsid w:val="005D5C5E"/>
    <w:rsid w:val="005D6AAE"/>
    <w:rsid w:val="005D6C45"/>
    <w:rsid w:val="005E01E2"/>
    <w:rsid w:val="005E10FF"/>
    <w:rsid w:val="005E186B"/>
    <w:rsid w:val="005E28BD"/>
    <w:rsid w:val="005E4FA8"/>
    <w:rsid w:val="005E6D95"/>
    <w:rsid w:val="005E6F87"/>
    <w:rsid w:val="005E72A4"/>
    <w:rsid w:val="005E7A3E"/>
    <w:rsid w:val="005E7E79"/>
    <w:rsid w:val="005F08B1"/>
    <w:rsid w:val="005F1991"/>
    <w:rsid w:val="005F3AF7"/>
    <w:rsid w:val="005F4224"/>
    <w:rsid w:val="005F46FC"/>
    <w:rsid w:val="005F52FC"/>
    <w:rsid w:val="005F71C4"/>
    <w:rsid w:val="005F7950"/>
    <w:rsid w:val="00601579"/>
    <w:rsid w:val="006016F2"/>
    <w:rsid w:val="00601FA7"/>
    <w:rsid w:val="00613EA7"/>
    <w:rsid w:val="0061657D"/>
    <w:rsid w:val="006168F9"/>
    <w:rsid w:val="00616FE9"/>
    <w:rsid w:val="0061736E"/>
    <w:rsid w:val="00617B38"/>
    <w:rsid w:val="00620C75"/>
    <w:rsid w:val="00623842"/>
    <w:rsid w:val="00626493"/>
    <w:rsid w:val="006264C4"/>
    <w:rsid w:val="006271A4"/>
    <w:rsid w:val="0062744A"/>
    <w:rsid w:val="006301E9"/>
    <w:rsid w:val="00631932"/>
    <w:rsid w:val="00632303"/>
    <w:rsid w:val="00632F6B"/>
    <w:rsid w:val="00634795"/>
    <w:rsid w:val="00634AEF"/>
    <w:rsid w:val="00636771"/>
    <w:rsid w:val="00637454"/>
    <w:rsid w:val="006376CC"/>
    <w:rsid w:val="00640329"/>
    <w:rsid w:val="00641A74"/>
    <w:rsid w:val="00641C91"/>
    <w:rsid w:val="006448B4"/>
    <w:rsid w:val="00644F41"/>
    <w:rsid w:val="00645AC1"/>
    <w:rsid w:val="006464AF"/>
    <w:rsid w:val="00646A44"/>
    <w:rsid w:val="00646A63"/>
    <w:rsid w:val="006474B3"/>
    <w:rsid w:val="00651E2D"/>
    <w:rsid w:val="00652965"/>
    <w:rsid w:val="006551B4"/>
    <w:rsid w:val="00656A38"/>
    <w:rsid w:val="006601AD"/>
    <w:rsid w:val="0066077A"/>
    <w:rsid w:val="00660899"/>
    <w:rsid w:val="00661200"/>
    <w:rsid w:val="006636D3"/>
    <w:rsid w:val="00663BBF"/>
    <w:rsid w:val="00664268"/>
    <w:rsid w:val="006649EC"/>
    <w:rsid w:val="00664AC3"/>
    <w:rsid w:val="00665996"/>
    <w:rsid w:val="00666B5C"/>
    <w:rsid w:val="006675A8"/>
    <w:rsid w:val="006722DD"/>
    <w:rsid w:val="00672988"/>
    <w:rsid w:val="00672A2E"/>
    <w:rsid w:val="00672B5F"/>
    <w:rsid w:val="00672C92"/>
    <w:rsid w:val="00673304"/>
    <w:rsid w:val="00674C6D"/>
    <w:rsid w:val="006758DF"/>
    <w:rsid w:val="00676DA3"/>
    <w:rsid w:val="006779FB"/>
    <w:rsid w:val="00680059"/>
    <w:rsid w:val="00683C43"/>
    <w:rsid w:val="006845C7"/>
    <w:rsid w:val="006853C9"/>
    <w:rsid w:val="00685BD1"/>
    <w:rsid w:val="00686A16"/>
    <w:rsid w:val="0068757A"/>
    <w:rsid w:val="006956CA"/>
    <w:rsid w:val="00696017"/>
    <w:rsid w:val="006A0216"/>
    <w:rsid w:val="006A3E0A"/>
    <w:rsid w:val="006A4B49"/>
    <w:rsid w:val="006A503A"/>
    <w:rsid w:val="006A6448"/>
    <w:rsid w:val="006A737E"/>
    <w:rsid w:val="006A7EF2"/>
    <w:rsid w:val="006B0390"/>
    <w:rsid w:val="006B0AB8"/>
    <w:rsid w:val="006B1482"/>
    <w:rsid w:val="006B1503"/>
    <w:rsid w:val="006B1A32"/>
    <w:rsid w:val="006B1F47"/>
    <w:rsid w:val="006B47B2"/>
    <w:rsid w:val="006B54F8"/>
    <w:rsid w:val="006B5B70"/>
    <w:rsid w:val="006B5BD4"/>
    <w:rsid w:val="006B726A"/>
    <w:rsid w:val="006B760F"/>
    <w:rsid w:val="006C0510"/>
    <w:rsid w:val="006C0ED1"/>
    <w:rsid w:val="006C184D"/>
    <w:rsid w:val="006C1C8E"/>
    <w:rsid w:val="006C2BEA"/>
    <w:rsid w:val="006C4366"/>
    <w:rsid w:val="006C6782"/>
    <w:rsid w:val="006D1261"/>
    <w:rsid w:val="006D1440"/>
    <w:rsid w:val="006D26C1"/>
    <w:rsid w:val="006D3489"/>
    <w:rsid w:val="006D3607"/>
    <w:rsid w:val="006D3782"/>
    <w:rsid w:val="006D5907"/>
    <w:rsid w:val="006D66EC"/>
    <w:rsid w:val="006D7535"/>
    <w:rsid w:val="006E1132"/>
    <w:rsid w:val="006E179E"/>
    <w:rsid w:val="006E2B9D"/>
    <w:rsid w:val="006E2D45"/>
    <w:rsid w:val="006E3D5C"/>
    <w:rsid w:val="006E3FB2"/>
    <w:rsid w:val="006E50A6"/>
    <w:rsid w:val="006E5DEA"/>
    <w:rsid w:val="006E6C7C"/>
    <w:rsid w:val="006E7428"/>
    <w:rsid w:val="006E7463"/>
    <w:rsid w:val="006F01DD"/>
    <w:rsid w:val="006F1890"/>
    <w:rsid w:val="006F259B"/>
    <w:rsid w:val="006F29AB"/>
    <w:rsid w:val="006F4970"/>
    <w:rsid w:val="006F5554"/>
    <w:rsid w:val="006F57E2"/>
    <w:rsid w:val="006F5FBA"/>
    <w:rsid w:val="006F6420"/>
    <w:rsid w:val="006F6716"/>
    <w:rsid w:val="006F682E"/>
    <w:rsid w:val="006F69B0"/>
    <w:rsid w:val="006F795B"/>
    <w:rsid w:val="006F7C93"/>
    <w:rsid w:val="00700B02"/>
    <w:rsid w:val="00700C41"/>
    <w:rsid w:val="0070373E"/>
    <w:rsid w:val="00703F25"/>
    <w:rsid w:val="00705529"/>
    <w:rsid w:val="007058A1"/>
    <w:rsid w:val="00705C62"/>
    <w:rsid w:val="00706413"/>
    <w:rsid w:val="00706456"/>
    <w:rsid w:val="0070675C"/>
    <w:rsid w:val="0070714E"/>
    <w:rsid w:val="00707DA6"/>
    <w:rsid w:val="007100D3"/>
    <w:rsid w:val="00711BDA"/>
    <w:rsid w:val="00711E2E"/>
    <w:rsid w:val="00712335"/>
    <w:rsid w:val="007131B6"/>
    <w:rsid w:val="00713680"/>
    <w:rsid w:val="00714762"/>
    <w:rsid w:val="00715631"/>
    <w:rsid w:val="00715C18"/>
    <w:rsid w:val="00715E38"/>
    <w:rsid w:val="00717F5D"/>
    <w:rsid w:val="00721349"/>
    <w:rsid w:val="007213D8"/>
    <w:rsid w:val="00722138"/>
    <w:rsid w:val="00723D00"/>
    <w:rsid w:val="00723EFA"/>
    <w:rsid w:val="00724DB0"/>
    <w:rsid w:val="00726592"/>
    <w:rsid w:val="007267BB"/>
    <w:rsid w:val="00726B27"/>
    <w:rsid w:val="00727DC8"/>
    <w:rsid w:val="00730581"/>
    <w:rsid w:val="007312F8"/>
    <w:rsid w:val="00731A53"/>
    <w:rsid w:val="00731BF6"/>
    <w:rsid w:val="00732374"/>
    <w:rsid w:val="00733D14"/>
    <w:rsid w:val="007348F9"/>
    <w:rsid w:val="00736212"/>
    <w:rsid w:val="00736736"/>
    <w:rsid w:val="007372DA"/>
    <w:rsid w:val="00737946"/>
    <w:rsid w:val="0074129F"/>
    <w:rsid w:val="00741587"/>
    <w:rsid w:val="00741F30"/>
    <w:rsid w:val="00742B26"/>
    <w:rsid w:val="00743AAB"/>
    <w:rsid w:val="00745057"/>
    <w:rsid w:val="0074554E"/>
    <w:rsid w:val="007464E2"/>
    <w:rsid w:val="00746767"/>
    <w:rsid w:val="00746F13"/>
    <w:rsid w:val="007471DC"/>
    <w:rsid w:val="00747983"/>
    <w:rsid w:val="00751070"/>
    <w:rsid w:val="00751A7B"/>
    <w:rsid w:val="00752518"/>
    <w:rsid w:val="00756376"/>
    <w:rsid w:val="007565FA"/>
    <w:rsid w:val="00757179"/>
    <w:rsid w:val="00761580"/>
    <w:rsid w:val="00763795"/>
    <w:rsid w:val="0076481A"/>
    <w:rsid w:val="00765D14"/>
    <w:rsid w:val="00766CB0"/>
    <w:rsid w:val="00767AEA"/>
    <w:rsid w:val="00770022"/>
    <w:rsid w:val="00773123"/>
    <w:rsid w:val="0077360D"/>
    <w:rsid w:val="00774B87"/>
    <w:rsid w:val="00774C0C"/>
    <w:rsid w:val="007775D1"/>
    <w:rsid w:val="007777B2"/>
    <w:rsid w:val="00780A70"/>
    <w:rsid w:val="0078363A"/>
    <w:rsid w:val="0078513A"/>
    <w:rsid w:val="00785BE3"/>
    <w:rsid w:val="00786ECD"/>
    <w:rsid w:val="00787E5C"/>
    <w:rsid w:val="00790BA0"/>
    <w:rsid w:val="00792B60"/>
    <w:rsid w:val="0079327C"/>
    <w:rsid w:val="007936DB"/>
    <w:rsid w:val="00795354"/>
    <w:rsid w:val="007955E6"/>
    <w:rsid w:val="00796BE4"/>
    <w:rsid w:val="00797108"/>
    <w:rsid w:val="00797789"/>
    <w:rsid w:val="007A1D3B"/>
    <w:rsid w:val="007A28F1"/>
    <w:rsid w:val="007A31B7"/>
    <w:rsid w:val="007A3996"/>
    <w:rsid w:val="007A3EE7"/>
    <w:rsid w:val="007A4069"/>
    <w:rsid w:val="007A57AA"/>
    <w:rsid w:val="007A74E0"/>
    <w:rsid w:val="007B040C"/>
    <w:rsid w:val="007B0DEB"/>
    <w:rsid w:val="007B1B27"/>
    <w:rsid w:val="007B1C39"/>
    <w:rsid w:val="007B3548"/>
    <w:rsid w:val="007B415F"/>
    <w:rsid w:val="007B65E9"/>
    <w:rsid w:val="007B7E05"/>
    <w:rsid w:val="007C093E"/>
    <w:rsid w:val="007C146D"/>
    <w:rsid w:val="007C1904"/>
    <w:rsid w:val="007C2BDA"/>
    <w:rsid w:val="007C33DB"/>
    <w:rsid w:val="007C3950"/>
    <w:rsid w:val="007C4B20"/>
    <w:rsid w:val="007C5DF6"/>
    <w:rsid w:val="007C6AFA"/>
    <w:rsid w:val="007C6BFC"/>
    <w:rsid w:val="007C726C"/>
    <w:rsid w:val="007D0C72"/>
    <w:rsid w:val="007D2471"/>
    <w:rsid w:val="007D25EB"/>
    <w:rsid w:val="007D2763"/>
    <w:rsid w:val="007D2880"/>
    <w:rsid w:val="007D4F65"/>
    <w:rsid w:val="007D6304"/>
    <w:rsid w:val="007D6661"/>
    <w:rsid w:val="007D707A"/>
    <w:rsid w:val="007D7241"/>
    <w:rsid w:val="007E0019"/>
    <w:rsid w:val="007E0078"/>
    <w:rsid w:val="007E13B9"/>
    <w:rsid w:val="007E6A13"/>
    <w:rsid w:val="007E6C7B"/>
    <w:rsid w:val="007E7A2A"/>
    <w:rsid w:val="007F0733"/>
    <w:rsid w:val="007F1383"/>
    <w:rsid w:val="007F250D"/>
    <w:rsid w:val="007F2A8D"/>
    <w:rsid w:val="007F3E1F"/>
    <w:rsid w:val="007F4D12"/>
    <w:rsid w:val="007F7372"/>
    <w:rsid w:val="007F75D8"/>
    <w:rsid w:val="007F7CBF"/>
    <w:rsid w:val="00800FB0"/>
    <w:rsid w:val="00801035"/>
    <w:rsid w:val="00804965"/>
    <w:rsid w:val="00805B2D"/>
    <w:rsid w:val="00805DB8"/>
    <w:rsid w:val="00806A1D"/>
    <w:rsid w:val="008114D1"/>
    <w:rsid w:val="00812564"/>
    <w:rsid w:val="008129EC"/>
    <w:rsid w:val="00812E6D"/>
    <w:rsid w:val="008138B0"/>
    <w:rsid w:val="00813E6B"/>
    <w:rsid w:val="00814104"/>
    <w:rsid w:val="008148AF"/>
    <w:rsid w:val="00814C63"/>
    <w:rsid w:val="00814DC0"/>
    <w:rsid w:val="00815ED8"/>
    <w:rsid w:val="008161BE"/>
    <w:rsid w:val="00816594"/>
    <w:rsid w:val="0081797D"/>
    <w:rsid w:val="008226BE"/>
    <w:rsid w:val="00822828"/>
    <w:rsid w:val="00822D44"/>
    <w:rsid w:val="00823304"/>
    <w:rsid w:val="0082463C"/>
    <w:rsid w:val="00831DA7"/>
    <w:rsid w:val="00832A03"/>
    <w:rsid w:val="00832D3E"/>
    <w:rsid w:val="008338CC"/>
    <w:rsid w:val="00833BBB"/>
    <w:rsid w:val="0083410B"/>
    <w:rsid w:val="00834771"/>
    <w:rsid w:val="00834CC3"/>
    <w:rsid w:val="0083614D"/>
    <w:rsid w:val="00836C4F"/>
    <w:rsid w:val="00841209"/>
    <w:rsid w:val="00841E06"/>
    <w:rsid w:val="008426AC"/>
    <w:rsid w:val="00842A2B"/>
    <w:rsid w:val="0084331E"/>
    <w:rsid w:val="008433E8"/>
    <w:rsid w:val="00843EC4"/>
    <w:rsid w:val="0084735F"/>
    <w:rsid w:val="008477B9"/>
    <w:rsid w:val="00850F0F"/>
    <w:rsid w:val="00851642"/>
    <w:rsid w:val="008526AE"/>
    <w:rsid w:val="00852902"/>
    <w:rsid w:val="008531CD"/>
    <w:rsid w:val="00853A5E"/>
    <w:rsid w:val="008546EC"/>
    <w:rsid w:val="008551AD"/>
    <w:rsid w:val="00855726"/>
    <w:rsid w:val="00855E31"/>
    <w:rsid w:val="008561B3"/>
    <w:rsid w:val="0085667F"/>
    <w:rsid w:val="00856731"/>
    <w:rsid w:val="00856F3A"/>
    <w:rsid w:val="0085734A"/>
    <w:rsid w:val="00857F54"/>
    <w:rsid w:val="00861113"/>
    <w:rsid w:val="00862069"/>
    <w:rsid w:val="00863F76"/>
    <w:rsid w:val="00864770"/>
    <w:rsid w:val="00864AFB"/>
    <w:rsid w:val="0086512E"/>
    <w:rsid w:val="00865D8D"/>
    <w:rsid w:val="008663BE"/>
    <w:rsid w:val="0086689C"/>
    <w:rsid w:val="0086793D"/>
    <w:rsid w:val="008716AC"/>
    <w:rsid w:val="00871E31"/>
    <w:rsid w:val="00872B96"/>
    <w:rsid w:val="0087324A"/>
    <w:rsid w:val="00873748"/>
    <w:rsid w:val="00873DBB"/>
    <w:rsid w:val="008740F0"/>
    <w:rsid w:val="00874333"/>
    <w:rsid w:val="00874597"/>
    <w:rsid w:val="0087469F"/>
    <w:rsid w:val="00874734"/>
    <w:rsid w:val="0087533E"/>
    <w:rsid w:val="008776A6"/>
    <w:rsid w:val="00877B0F"/>
    <w:rsid w:val="00881692"/>
    <w:rsid w:val="00881818"/>
    <w:rsid w:val="00883CAB"/>
    <w:rsid w:val="00884FCF"/>
    <w:rsid w:val="008869A5"/>
    <w:rsid w:val="008870F3"/>
    <w:rsid w:val="0088737D"/>
    <w:rsid w:val="0088792D"/>
    <w:rsid w:val="00890E7B"/>
    <w:rsid w:val="00891C1D"/>
    <w:rsid w:val="008926F4"/>
    <w:rsid w:val="00892B16"/>
    <w:rsid w:val="008930A6"/>
    <w:rsid w:val="00893F18"/>
    <w:rsid w:val="008953F1"/>
    <w:rsid w:val="00895419"/>
    <w:rsid w:val="00896DDC"/>
    <w:rsid w:val="008979EA"/>
    <w:rsid w:val="008A17C1"/>
    <w:rsid w:val="008A1D1B"/>
    <w:rsid w:val="008A271D"/>
    <w:rsid w:val="008A3DC3"/>
    <w:rsid w:val="008A4663"/>
    <w:rsid w:val="008A60D4"/>
    <w:rsid w:val="008A6141"/>
    <w:rsid w:val="008A7318"/>
    <w:rsid w:val="008B06FB"/>
    <w:rsid w:val="008B2728"/>
    <w:rsid w:val="008B4716"/>
    <w:rsid w:val="008B4BD1"/>
    <w:rsid w:val="008B5A5F"/>
    <w:rsid w:val="008B5E4A"/>
    <w:rsid w:val="008B688E"/>
    <w:rsid w:val="008C0951"/>
    <w:rsid w:val="008C1093"/>
    <w:rsid w:val="008C19B6"/>
    <w:rsid w:val="008C568F"/>
    <w:rsid w:val="008C62F0"/>
    <w:rsid w:val="008C7606"/>
    <w:rsid w:val="008D0486"/>
    <w:rsid w:val="008D08E1"/>
    <w:rsid w:val="008D207E"/>
    <w:rsid w:val="008D3ACE"/>
    <w:rsid w:val="008D40A6"/>
    <w:rsid w:val="008D46BE"/>
    <w:rsid w:val="008D5359"/>
    <w:rsid w:val="008D5AB3"/>
    <w:rsid w:val="008D7159"/>
    <w:rsid w:val="008D7B5C"/>
    <w:rsid w:val="008E01F7"/>
    <w:rsid w:val="008E0FCF"/>
    <w:rsid w:val="008E1478"/>
    <w:rsid w:val="008E3161"/>
    <w:rsid w:val="008E55B0"/>
    <w:rsid w:val="008E65EB"/>
    <w:rsid w:val="008F0100"/>
    <w:rsid w:val="008F17C0"/>
    <w:rsid w:val="008F2554"/>
    <w:rsid w:val="008F282C"/>
    <w:rsid w:val="008F3163"/>
    <w:rsid w:val="008F3A30"/>
    <w:rsid w:val="008F3D35"/>
    <w:rsid w:val="008F46AA"/>
    <w:rsid w:val="008F4D39"/>
    <w:rsid w:val="008F6A81"/>
    <w:rsid w:val="008F70E8"/>
    <w:rsid w:val="008F7268"/>
    <w:rsid w:val="008F79A2"/>
    <w:rsid w:val="0090100D"/>
    <w:rsid w:val="00902611"/>
    <w:rsid w:val="00902743"/>
    <w:rsid w:val="00905047"/>
    <w:rsid w:val="0090574E"/>
    <w:rsid w:val="0091017D"/>
    <w:rsid w:val="00913B0C"/>
    <w:rsid w:val="00913F51"/>
    <w:rsid w:val="009143C0"/>
    <w:rsid w:val="00914C62"/>
    <w:rsid w:val="00914E98"/>
    <w:rsid w:val="00917C6A"/>
    <w:rsid w:val="00922081"/>
    <w:rsid w:val="009220BE"/>
    <w:rsid w:val="00922367"/>
    <w:rsid w:val="009223A0"/>
    <w:rsid w:val="009227CE"/>
    <w:rsid w:val="00922D86"/>
    <w:rsid w:val="00923B50"/>
    <w:rsid w:val="00923F60"/>
    <w:rsid w:val="0092449D"/>
    <w:rsid w:val="00924F0D"/>
    <w:rsid w:val="00925675"/>
    <w:rsid w:val="00926077"/>
    <w:rsid w:val="0092690F"/>
    <w:rsid w:val="00930136"/>
    <w:rsid w:val="00930431"/>
    <w:rsid w:val="009309D0"/>
    <w:rsid w:val="00931508"/>
    <w:rsid w:val="00931EDB"/>
    <w:rsid w:val="00931FC5"/>
    <w:rsid w:val="009321A8"/>
    <w:rsid w:val="0093269E"/>
    <w:rsid w:val="00932F47"/>
    <w:rsid w:val="00934F04"/>
    <w:rsid w:val="0094166E"/>
    <w:rsid w:val="00942718"/>
    <w:rsid w:val="00942A57"/>
    <w:rsid w:val="00943619"/>
    <w:rsid w:val="00943EAD"/>
    <w:rsid w:val="00944EAB"/>
    <w:rsid w:val="009450D9"/>
    <w:rsid w:val="00945793"/>
    <w:rsid w:val="00945AD2"/>
    <w:rsid w:val="009461AB"/>
    <w:rsid w:val="00946657"/>
    <w:rsid w:val="00951E5B"/>
    <w:rsid w:val="009528EB"/>
    <w:rsid w:val="00952CA6"/>
    <w:rsid w:val="0095358F"/>
    <w:rsid w:val="00953F90"/>
    <w:rsid w:val="00954A64"/>
    <w:rsid w:val="009552B3"/>
    <w:rsid w:val="00955E10"/>
    <w:rsid w:val="009560E3"/>
    <w:rsid w:val="009565EF"/>
    <w:rsid w:val="009576F9"/>
    <w:rsid w:val="00960A5B"/>
    <w:rsid w:val="00960AEE"/>
    <w:rsid w:val="00960EB8"/>
    <w:rsid w:val="009643A0"/>
    <w:rsid w:val="009652AF"/>
    <w:rsid w:val="0097061A"/>
    <w:rsid w:val="00970D4E"/>
    <w:rsid w:val="00971353"/>
    <w:rsid w:val="00972438"/>
    <w:rsid w:val="00972D0A"/>
    <w:rsid w:val="009748D3"/>
    <w:rsid w:val="0097584D"/>
    <w:rsid w:val="00976936"/>
    <w:rsid w:val="0097762F"/>
    <w:rsid w:val="009805BC"/>
    <w:rsid w:val="0098241D"/>
    <w:rsid w:val="00984299"/>
    <w:rsid w:val="00984CFE"/>
    <w:rsid w:val="00986CFF"/>
    <w:rsid w:val="009874B8"/>
    <w:rsid w:val="00990141"/>
    <w:rsid w:val="0099055E"/>
    <w:rsid w:val="00993CF5"/>
    <w:rsid w:val="00994872"/>
    <w:rsid w:val="00994CCB"/>
    <w:rsid w:val="00995CC9"/>
    <w:rsid w:val="009A01E4"/>
    <w:rsid w:val="009A1637"/>
    <w:rsid w:val="009A19F2"/>
    <w:rsid w:val="009A3960"/>
    <w:rsid w:val="009A7561"/>
    <w:rsid w:val="009A79F5"/>
    <w:rsid w:val="009B0021"/>
    <w:rsid w:val="009B0D1F"/>
    <w:rsid w:val="009B31B0"/>
    <w:rsid w:val="009B359F"/>
    <w:rsid w:val="009B3609"/>
    <w:rsid w:val="009B5C9B"/>
    <w:rsid w:val="009B5D8E"/>
    <w:rsid w:val="009B6B73"/>
    <w:rsid w:val="009B7098"/>
    <w:rsid w:val="009B70AD"/>
    <w:rsid w:val="009B76F4"/>
    <w:rsid w:val="009C1757"/>
    <w:rsid w:val="009C181F"/>
    <w:rsid w:val="009C1DAE"/>
    <w:rsid w:val="009C3907"/>
    <w:rsid w:val="009C4164"/>
    <w:rsid w:val="009C53CA"/>
    <w:rsid w:val="009C5AA4"/>
    <w:rsid w:val="009C5AAD"/>
    <w:rsid w:val="009C5C06"/>
    <w:rsid w:val="009C63D2"/>
    <w:rsid w:val="009C6815"/>
    <w:rsid w:val="009C6E93"/>
    <w:rsid w:val="009C785A"/>
    <w:rsid w:val="009D0879"/>
    <w:rsid w:val="009D194C"/>
    <w:rsid w:val="009D223F"/>
    <w:rsid w:val="009D2B7B"/>
    <w:rsid w:val="009D2C81"/>
    <w:rsid w:val="009D335C"/>
    <w:rsid w:val="009D37E7"/>
    <w:rsid w:val="009D4610"/>
    <w:rsid w:val="009D6F4F"/>
    <w:rsid w:val="009E0241"/>
    <w:rsid w:val="009E105F"/>
    <w:rsid w:val="009E1812"/>
    <w:rsid w:val="009E20E5"/>
    <w:rsid w:val="009E220E"/>
    <w:rsid w:val="009E2428"/>
    <w:rsid w:val="009E28E4"/>
    <w:rsid w:val="009E2A51"/>
    <w:rsid w:val="009E3828"/>
    <w:rsid w:val="009E3E11"/>
    <w:rsid w:val="009E4B01"/>
    <w:rsid w:val="009E5212"/>
    <w:rsid w:val="009E5DAC"/>
    <w:rsid w:val="009E605D"/>
    <w:rsid w:val="009E67A1"/>
    <w:rsid w:val="009F00E1"/>
    <w:rsid w:val="009F06C6"/>
    <w:rsid w:val="009F0E0A"/>
    <w:rsid w:val="009F25B1"/>
    <w:rsid w:val="009F38F4"/>
    <w:rsid w:val="009F3939"/>
    <w:rsid w:val="009F3A05"/>
    <w:rsid w:val="009F3E0B"/>
    <w:rsid w:val="009F426D"/>
    <w:rsid w:val="009F5385"/>
    <w:rsid w:val="009F55F8"/>
    <w:rsid w:val="00A00AA9"/>
    <w:rsid w:val="00A00AC2"/>
    <w:rsid w:val="00A01475"/>
    <w:rsid w:val="00A02D2C"/>
    <w:rsid w:val="00A03BE2"/>
    <w:rsid w:val="00A03CE1"/>
    <w:rsid w:val="00A03CEA"/>
    <w:rsid w:val="00A0480F"/>
    <w:rsid w:val="00A06B48"/>
    <w:rsid w:val="00A06C1E"/>
    <w:rsid w:val="00A101AC"/>
    <w:rsid w:val="00A1124C"/>
    <w:rsid w:val="00A11441"/>
    <w:rsid w:val="00A116BC"/>
    <w:rsid w:val="00A128DA"/>
    <w:rsid w:val="00A1349B"/>
    <w:rsid w:val="00A14B8E"/>
    <w:rsid w:val="00A15B08"/>
    <w:rsid w:val="00A1667A"/>
    <w:rsid w:val="00A168C5"/>
    <w:rsid w:val="00A170F8"/>
    <w:rsid w:val="00A20021"/>
    <w:rsid w:val="00A20A0B"/>
    <w:rsid w:val="00A218C3"/>
    <w:rsid w:val="00A21E82"/>
    <w:rsid w:val="00A22499"/>
    <w:rsid w:val="00A22B2D"/>
    <w:rsid w:val="00A2786F"/>
    <w:rsid w:val="00A30568"/>
    <w:rsid w:val="00A30803"/>
    <w:rsid w:val="00A3083E"/>
    <w:rsid w:val="00A30872"/>
    <w:rsid w:val="00A30F18"/>
    <w:rsid w:val="00A31191"/>
    <w:rsid w:val="00A33C8B"/>
    <w:rsid w:val="00A359C1"/>
    <w:rsid w:val="00A3657C"/>
    <w:rsid w:val="00A36F5C"/>
    <w:rsid w:val="00A37375"/>
    <w:rsid w:val="00A373CD"/>
    <w:rsid w:val="00A4130B"/>
    <w:rsid w:val="00A415FC"/>
    <w:rsid w:val="00A4292D"/>
    <w:rsid w:val="00A4416A"/>
    <w:rsid w:val="00A444C3"/>
    <w:rsid w:val="00A44AC9"/>
    <w:rsid w:val="00A453B4"/>
    <w:rsid w:val="00A4769D"/>
    <w:rsid w:val="00A476F5"/>
    <w:rsid w:val="00A478DB"/>
    <w:rsid w:val="00A5006D"/>
    <w:rsid w:val="00A512C3"/>
    <w:rsid w:val="00A523F3"/>
    <w:rsid w:val="00A5316E"/>
    <w:rsid w:val="00A54681"/>
    <w:rsid w:val="00A54FE2"/>
    <w:rsid w:val="00A55D98"/>
    <w:rsid w:val="00A5778A"/>
    <w:rsid w:val="00A61FFF"/>
    <w:rsid w:val="00A64DAB"/>
    <w:rsid w:val="00A654D8"/>
    <w:rsid w:val="00A661AE"/>
    <w:rsid w:val="00A662E6"/>
    <w:rsid w:val="00A668D7"/>
    <w:rsid w:val="00A67FC5"/>
    <w:rsid w:val="00A70665"/>
    <w:rsid w:val="00A70FA7"/>
    <w:rsid w:val="00A71CC8"/>
    <w:rsid w:val="00A7335E"/>
    <w:rsid w:val="00A7382B"/>
    <w:rsid w:val="00A738B1"/>
    <w:rsid w:val="00A73B74"/>
    <w:rsid w:val="00A73E96"/>
    <w:rsid w:val="00A757B6"/>
    <w:rsid w:val="00A75C0F"/>
    <w:rsid w:val="00A75FB2"/>
    <w:rsid w:val="00A775FA"/>
    <w:rsid w:val="00A779C5"/>
    <w:rsid w:val="00A8067D"/>
    <w:rsid w:val="00A81C62"/>
    <w:rsid w:val="00A8238B"/>
    <w:rsid w:val="00A82C5E"/>
    <w:rsid w:val="00A834EA"/>
    <w:rsid w:val="00A83740"/>
    <w:rsid w:val="00A8386F"/>
    <w:rsid w:val="00A83A00"/>
    <w:rsid w:val="00A83CF9"/>
    <w:rsid w:val="00A87745"/>
    <w:rsid w:val="00A907FC"/>
    <w:rsid w:val="00A90BCD"/>
    <w:rsid w:val="00A91117"/>
    <w:rsid w:val="00A93DAF"/>
    <w:rsid w:val="00A93E4F"/>
    <w:rsid w:val="00A95B57"/>
    <w:rsid w:val="00A95C0C"/>
    <w:rsid w:val="00A960C1"/>
    <w:rsid w:val="00A968C3"/>
    <w:rsid w:val="00A96EF8"/>
    <w:rsid w:val="00A970FE"/>
    <w:rsid w:val="00A97117"/>
    <w:rsid w:val="00A97269"/>
    <w:rsid w:val="00A9795A"/>
    <w:rsid w:val="00AA0744"/>
    <w:rsid w:val="00AA083C"/>
    <w:rsid w:val="00AA17A6"/>
    <w:rsid w:val="00AA3349"/>
    <w:rsid w:val="00AA3766"/>
    <w:rsid w:val="00AA3C5A"/>
    <w:rsid w:val="00AA3F21"/>
    <w:rsid w:val="00AA5545"/>
    <w:rsid w:val="00AA6EC1"/>
    <w:rsid w:val="00AB3641"/>
    <w:rsid w:val="00AB613C"/>
    <w:rsid w:val="00AB6185"/>
    <w:rsid w:val="00AB68FF"/>
    <w:rsid w:val="00AB714F"/>
    <w:rsid w:val="00AB75DF"/>
    <w:rsid w:val="00AB77B7"/>
    <w:rsid w:val="00AC0862"/>
    <w:rsid w:val="00AC0D06"/>
    <w:rsid w:val="00AC3660"/>
    <w:rsid w:val="00AC381D"/>
    <w:rsid w:val="00AC467C"/>
    <w:rsid w:val="00AC4C55"/>
    <w:rsid w:val="00AC4FC3"/>
    <w:rsid w:val="00AC5E77"/>
    <w:rsid w:val="00AC64EB"/>
    <w:rsid w:val="00AC66E1"/>
    <w:rsid w:val="00AD086E"/>
    <w:rsid w:val="00AD1299"/>
    <w:rsid w:val="00AD1309"/>
    <w:rsid w:val="00AD20F1"/>
    <w:rsid w:val="00AD2CAF"/>
    <w:rsid w:val="00AD41C0"/>
    <w:rsid w:val="00AD4E7B"/>
    <w:rsid w:val="00AD73AA"/>
    <w:rsid w:val="00AD7DBE"/>
    <w:rsid w:val="00AE0E55"/>
    <w:rsid w:val="00AE184F"/>
    <w:rsid w:val="00AE1C73"/>
    <w:rsid w:val="00AE1D6D"/>
    <w:rsid w:val="00AE247A"/>
    <w:rsid w:val="00AE38B5"/>
    <w:rsid w:val="00AE7841"/>
    <w:rsid w:val="00AE7C44"/>
    <w:rsid w:val="00AF1554"/>
    <w:rsid w:val="00AF1B13"/>
    <w:rsid w:val="00AF292B"/>
    <w:rsid w:val="00AF44D3"/>
    <w:rsid w:val="00AF56C0"/>
    <w:rsid w:val="00AF5B3D"/>
    <w:rsid w:val="00B016D7"/>
    <w:rsid w:val="00B01A97"/>
    <w:rsid w:val="00B03BCE"/>
    <w:rsid w:val="00B0410C"/>
    <w:rsid w:val="00B04983"/>
    <w:rsid w:val="00B053AA"/>
    <w:rsid w:val="00B0582F"/>
    <w:rsid w:val="00B05ACF"/>
    <w:rsid w:val="00B0636D"/>
    <w:rsid w:val="00B070AA"/>
    <w:rsid w:val="00B10CF1"/>
    <w:rsid w:val="00B12E2F"/>
    <w:rsid w:val="00B134AB"/>
    <w:rsid w:val="00B13790"/>
    <w:rsid w:val="00B14624"/>
    <w:rsid w:val="00B14ACC"/>
    <w:rsid w:val="00B152EE"/>
    <w:rsid w:val="00B17B68"/>
    <w:rsid w:val="00B17CBE"/>
    <w:rsid w:val="00B22C20"/>
    <w:rsid w:val="00B27155"/>
    <w:rsid w:val="00B306AC"/>
    <w:rsid w:val="00B31C7B"/>
    <w:rsid w:val="00B33B3A"/>
    <w:rsid w:val="00B343CA"/>
    <w:rsid w:val="00B34BAB"/>
    <w:rsid w:val="00B35404"/>
    <w:rsid w:val="00B3730C"/>
    <w:rsid w:val="00B37801"/>
    <w:rsid w:val="00B37918"/>
    <w:rsid w:val="00B37E72"/>
    <w:rsid w:val="00B40674"/>
    <w:rsid w:val="00B410C9"/>
    <w:rsid w:val="00B41D98"/>
    <w:rsid w:val="00B42E33"/>
    <w:rsid w:val="00B43FC5"/>
    <w:rsid w:val="00B4429A"/>
    <w:rsid w:val="00B454A8"/>
    <w:rsid w:val="00B4634F"/>
    <w:rsid w:val="00B46D87"/>
    <w:rsid w:val="00B46E64"/>
    <w:rsid w:val="00B4776A"/>
    <w:rsid w:val="00B4796D"/>
    <w:rsid w:val="00B5033C"/>
    <w:rsid w:val="00B50B5E"/>
    <w:rsid w:val="00B51FF6"/>
    <w:rsid w:val="00B53A93"/>
    <w:rsid w:val="00B550BD"/>
    <w:rsid w:val="00B5533C"/>
    <w:rsid w:val="00B5666E"/>
    <w:rsid w:val="00B573FA"/>
    <w:rsid w:val="00B57F85"/>
    <w:rsid w:val="00B61013"/>
    <w:rsid w:val="00B611DE"/>
    <w:rsid w:val="00B621E0"/>
    <w:rsid w:val="00B629DA"/>
    <w:rsid w:val="00B6323E"/>
    <w:rsid w:val="00B633CC"/>
    <w:rsid w:val="00B637C6"/>
    <w:rsid w:val="00B661E7"/>
    <w:rsid w:val="00B664C7"/>
    <w:rsid w:val="00B67AF3"/>
    <w:rsid w:val="00B67EA5"/>
    <w:rsid w:val="00B7148C"/>
    <w:rsid w:val="00B72EED"/>
    <w:rsid w:val="00B75DD3"/>
    <w:rsid w:val="00B76225"/>
    <w:rsid w:val="00B77980"/>
    <w:rsid w:val="00B77A81"/>
    <w:rsid w:val="00B803C2"/>
    <w:rsid w:val="00B81027"/>
    <w:rsid w:val="00B824F5"/>
    <w:rsid w:val="00B82590"/>
    <w:rsid w:val="00B82E91"/>
    <w:rsid w:val="00B82EA6"/>
    <w:rsid w:val="00B83399"/>
    <w:rsid w:val="00B837FA"/>
    <w:rsid w:val="00B84D6C"/>
    <w:rsid w:val="00B86A30"/>
    <w:rsid w:val="00B875DD"/>
    <w:rsid w:val="00B9025C"/>
    <w:rsid w:val="00B90989"/>
    <w:rsid w:val="00B92694"/>
    <w:rsid w:val="00B9271B"/>
    <w:rsid w:val="00B94AE2"/>
    <w:rsid w:val="00B95BEE"/>
    <w:rsid w:val="00B95E93"/>
    <w:rsid w:val="00BA13B5"/>
    <w:rsid w:val="00BA19A4"/>
    <w:rsid w:val="00BA23E7"/>
    <w:rsid w:val="00BA2CA4"/>
    <w:rsid w:val="00BA2D60"/>
    <w:rsid w:val="00BA384B"/>
    <w:rsid w:val="00BA3A9F"/>
    <w:rsid w:val="00BA4DE6"/>
    <w:rsid w:val="00BA6B47"/>
    <w:rsid w:val="00BB13DD"/>
    <w:rsid w:val="00BB1746"/>
    <w:rsid w:val="00BB1C1E"/>
    <w:rsid w:val="00BB1CED"/>
    <w:rsid w:val="00BB22B0"/>
    <w:rsid w:val="00BB2580"/>
    <w:rsid w:val="00BB27E4"/>
    <w:rsid w:val="00BB3731"/>
    <w:rsid w:val="00BB44D9"/>
    <w:rsid w:val="00BB44ED"/>
    <w:rsid w:val="00BB4C28"/>
    <w:rsid w:val="00BB74E6"/>
    <w:rsid w:val="00BC26A9"/>
    <w:rsid w:val="00BC2BEF"/>
    <w:rsid w:val="00BC34CB"/>
    <w:rsid w:val="00BC37F1"/>
    <w:rsid w:val="00BC63BE"/>
    <w:rsid w:val="00BC6A85"/>
    <w:rsid w:val="00BC6E6A"/>
    <w:rsid w:val="00BC741D"/>
    <w:rsid w:val="00BD2249"/>
    <w:rsid w:val="00BD3591"/>
    <w:rsid w:val="00BD3B4F"/>
    <w:rsid w:val="00BD3D25"/>
    <w:rsid w:val="00BD3D92"/>
    <w:rsid w:val="00BD5692"/>
    <w:rsid w:val="00BD63E6"/>
    <w:rsid w:val="00BD66A8"/>
    <w:rsid w:val="00BE1C77"/>
    <w:rsid w:val="00BE4137"/>
    <w:rsid w:val="00BE534A"/>
    <w:rsid w:val="00BE5B14"/>
    <w:rsid w:val="00BE6E87"/>
    <w:rsid w:val="00BE74B6"/>
    <w:rsid w:val="00BE7C85"/>
    <w:rsid w:val="00BF0749"/>
    <w:rsid w:val="00BF0D52"/>
    <w:rsid w:val="00BF0E8B"/>
    <w:rsid w:val="00BF159D"/>
    <w:rsid w:val="00BF398D"/>
    <w:rsid w:val="00BF3E32"/>
    <w:rsid w:val="00BF5606"/>
    <w:rsid w:val="00BF5AFA"/>
    <w:rsid w:val="00BF68AC"/>
    <w:rsid w:val="00BF6FBC"/>
    <w:rsid w:val="00BF7E42"/>
    <w:rsid w:val="00C00BE5"/>
    <w:rsid w:val="00C00F37"/>
    <w:rsid w:val="00C015E9"/>
    <w:rsid w:val="00C01D8E"/>
    <w:rsid w:val="00C01F28"/>
    <w:rsid w:val="00C03300"/>
    <w:rsid w:val="00C036BA"/>
    <w:rsid w:val="00C05712"/>
    <w:rsid w:val="00C07C4D"/>
    <w:rsid w:val="00C10089"/>
    <w:rsid w:val="00C1030C"/>
    <w:rsid w:val="00C11252"/>
    <w:rsid w:val="00C11AB2"/>
    <w:rsid w:val="00C149D2"/>
    <w:rsid w:val="00C149EE"/>
    <w:rsid w:val="00C158F2"/>
    <w:rsid w:val="00C15A8C"/>
    <w:rsid w:val="00C15C39"/>
    <w:rsid w:val="00C1663C"/>
    <w:rsid w:val="00C177EF"/>
    <w:rsid w:val="00C17D3F"/>
    <w:rsid w:val="00C20BCA"/>
    <w:rsid w:val="00C20F7E"/>
    <w:rsid w:val="00C2114D"/>
    <w:rsid w:val="00C2196E"/>
    <w:rsid w:val="00C224B5"/>
    <w:rsid w:val="00C23656"/>
    <w:rsid w:val="00C24172"/>
    <w:rsid w:val="00C24C06"/>
    <w:rsid w:val="00C25126"/>
    <w:rsid w:val="00C26163"/>
    <w:rsid w:val="00C26405"/>
    <w:rsid w:val="00C279DE"/>
    <w:rsid w:val="00C30629"/>
    <w:rsid w:val="00C32FDA"/>
    <w:rsid w:val="00C3329A"/>
    <w:rsid w:val="00C33FAE"/>
    <w:rsid w:val="00C34026"/>
    <w:rsid w:val="00C34FA4"/>
    <w:rsid w:val="00C37AC5"/>
    <w:rsid w:val="00C37DFD"/>
    <w:rsid w:val="00C40A1B"/>
    <w:rsid w:val="00C42CAC"/>
    <w:rsid w:val="00C43B59"/>
    <w:rsid w:val="00C47AEA"/>
    <w:rsid w:val="00C507F3"/>
    <w:rsid w:val="00C50A58"/>
    <w:rsid w:val="00C522DB"/>
    <w:rsid w:val="00C52889"/>
    <w:rsid w:val="00C52D80"/>
    <w:rsid w:val="00C53285"/>
    <w:rsid w:val="00C54748"/>
    <w:rsid w:val="00C55AAE"/>
    <w:rsid w:val="00C55B46"/>
    <w:rsid w:val="00C566AA"/>
    <w:rsid w:val="00C57FF4"/>
    <w:rsid w:val="00C60F37"/>
    <w:rsid w:val="00C61569"/>
    <w:rsid w:val="00C6281D"/>
    <w:rsid w:val="00C62A6F"/>
    <w:rsid w:val="00C63B86"/>
    <w:rsid w:val="00C65741"/>
    <w:rsid w:val="00C66B5B"/>
    <w:rsid w:val="00C66DE3"/>
    <w:rsid w:val="00C67296"/>
    <w:rsid w:val="00C67A02"/>
    <w:rsid w:val="00C7086C"/>
    <w:rsid w:val="00C71191"/>
    <w:rsid w:val="00C7152F"/>
    <w:rsid w:val="00C72196"/>
    <w:rsid w:val="00C72466"/>
    <w:rsid w:val="00C753D0"/>
    <w:rsid w:val="00C76CDA"/>
    <w:rsid w:val="00C773E3"/>
    <w:rsid w:val="00C77E88"/>
    <w:rsid w:val="00C803B8"/>
    <w:rsid w:val="00C81186"/>
    <w:rsid w:val="00C8268D"/>
    <w:rsid w:val="00C82AF7"/>
    <w:rsid w:val="00C836BB"/>
    <w:rsid w:val="00C841C9"/>
    <w:rsid w:val="00C842D5"/>
    <w:rsid w:val="00C85925"/>
    <w:rsid w:val="00C8597F"/>
    <w:rsid w:val="00C86610"/>
    <w:rsid w:val="00C869C3"/>
    <w:rsid w:val="00C86DBC"/>
    <w:rsid w:val="00C873A5"/>
    <w:rsid w:val="00C8759D"/>
    <w:rsid w:val="00C87B35"/>
    <w:rsid w:val="00C903F7"/>
    <w:rsid w:val="00C904DC"/>
    <w:rsid w:val="00C90A7E"/>
    <w:rsid w:val="00C919AE"/>
    <w:rsid w:val="00C92FD4"/>
    <w:rsid w:val="00C9452A"/>
    <w:rsid w:val="00C95022"/>
    <w:rsid w:val="00C95034"/>
    <w:rsid w:val="00C96A36"/>
    <w:rsid w:val="00CA05F2"/>
    <w:rsid w:val="00CA0AA6"/>
    <w:rsid w:val="00CA1B65"/>
    <w:rsid w:val="00CA266E"/>
    <w:rsid w:val="00CA3C00"/>
    <w:rsid w:val="00CA49EC"/>
    <w:rsid w:val="00CA557B"/>
    <w:rsid w:val="00CA63CA"/>
    <w:rsid w:val="00CA6567"/>
    <w:rsid w:val="00CA7043"/>
    <w:rsid w:val="00CA70B2"/>
    <w:rsid w:val="00CA7CFF"/>
    <w:rsid w:val="00CB0D37"/>
    <w:rsid w:val="00CB147D"/>
    <w:rsid w:val="00CB1D49"/>
    <w:rsid w:val="00CB2A7A"/>
    <w:rsid w:val="00CB322E"/>
    <w:rsid w:val="00CB3646"/>
    <w:rsid w:val="00CB530C"/>
    <w:rsid w:val="00CB65C5"/>
    <w:rsid w:val="00CB6A82"/>
    <w:rsid w:val="00CB6AAE"/>
    <w:rsid w:val="00CB7972"/>
    <w:rsid w:val="00CB7E12"/>
    <w:rsid w:val="00CC1959"/>
    <w:rsid w:val="00CC2DAC"/>
    <w:rsid w:val="00CC3227"/>
    <w:rsid w:val="00CC3EEB"/>
    <w:rsid w:val="00CC405B"/>
    <w:rsid w:val="00CC44E3"/>
    <w:rsid w:val="00CC49A0"/>
    <w:rsid w:val="00CC50A9"/>
    <w:rsid w:val="00CC6C4B"/>
    <w:rsid w:val="00CC7011"/>
    <w:rsid w:val="00CC737B"/>
    <w:rsid w:val="00CD0505"/>
    <w:rsid w:val="00CD1383"/>
    <w:rsid w:val="00CD1726"/>
    <w:rsid w:val="00CD1E88"/>
    <w:rsid w:val="00CD2537"/>
    <w:rsid w:val="00CD4726"/>
    <w:rsid w:val="00CD4926"/>
    <w:rsid w:val="00CD6C62"/>
    <w:rsid w:val="00CE0C9B"/>
    <w:rsid w:val="00CE0CCF"/>
    <w:rsid w:val="00CE1463"/>
    <w:rsid w:val="00CE2AC9"/>
    <w:rsid w:val="00CE317C"/>
    <w:rsid w:val="00CE3AFF"/>
    <w:rsid w:val="00CE470D"/>
    <w:rsid w:val="00CE5032"/>
    <w:rsid w:val="00CE531F"/>
    <w:rsid w:val="00CE5E02"/>
    <w:rsid w:val="00CF2300"/>
    <w:rsid w:val="00CF298A"/>
    <w:rsid w:val="00CF3029"/>
    <w:rsid w:val="00CF3E7C"/>
    <w:rsid w:val="00CF4211"/>
    <w:rsid w:val="00CF42C1"/>
    <w:rsid w:val="00CF51F5"/>
    <w:rsid w:val="00CF6F1B"/>
    <w:rsid w:val="00CF7936"/>
    <w:rsid w:val="00CF7AC4"/>
    <w:rsid w:val="00D02D61"/>
    <w:rsid w:val="00D03A5F"/>
    <w:rsid w:val="00D07D51"/>
    <w:rsid w:val="00D1059E"/>
    <w:rsid w:val="00D10C2A"/>
    <w:rsid w:val="00D1127B"/>
    <w:rsid w:val="00D112D0"/>
    <w:rsid w:val="00D1229D"/>
    <w:rsid w:val="00D13C9B"/>
    <w:rsid w:val="00D1411F"/>
    <w:rsid w:val="00D144B3"/>
    <w:rsid w:val="00D15F49"/>
    <w:rsid w:val="00D1600E"/>
    <w:rsid w:val="00D16AE7"/>
    <w:rsid w:val="00D17C30"/>
    <w:rsid w:val="00D17CC2"/>
    <w:rsid w:val="00D22E0A"/>
    <w:rsid w:val="00D23B55"/>
    <w:rsid w:val="00D262FE"/>
    <w:rsid w:val="00D27085"/>
    <w:rsid w:val="00D27310"/>
    <w:rsid w:val="00D301EF"/>
    <w:rsid w:val="00D34BB2"/>
    <w:rsid w:val="00D3613C"/>
    <w:rsid w:val="00D36711"/>
    <w:rsid w:val="00D37DA5"/>
    <w:rsid w:val="00D37EB7"/>
    <w:rsid w:val="00D424AE"/>
    <w:rsid w:val="00D4313F"/>
    <w:rsid w:val="00D43905"/>
    <w:rsid w:val="00D43F62"/>
    <w:rsid w:val="00D45F6A"/>
    <w:rsid w:val="00D47BD6"/>
    <w:rsid w:val="00D50BBE"/>
    <w:rsid w:val="00D50CA4"/>
    <w:rsid w:val="00D50D5F"/>
    <w:rsid w:val="00D52EA1"/>
    <w:rsid w:val="00D53765"/>
    <w:rsid w:val="00D54410"/>
    <w:rsid w:val="00D54E81"/>
    <w:rsid w:val="00D54F57"/>
    <w:rsid w:val="00D561E1"/>
    <w:rsid w:val="00D579DC"/>
    <w:rsid w:val="00D60F1F"/>
    <w:rsid w:val="00D62455"/>
    <w:rsid w:val="00D639C7"/>
    <w:rsid w:val="00D63A08"/>
    <w:rsid w:val="00D6462A"/>
    <w:rsid w:val="00D64688"/>
    <w:rsid w:val="00D64B5A"/>
    <w:rsid w:val="00D657D3"/>
    <w:rsid w:val="00D65FD2"/>
    <w:rsid w:val="00D66EB5"/>
    <w:rsid w:val="00D676CD"/>
    <w:rsid w:val="00D67B67"/>
    <w:rsid w:val="00D7077D"/>
    <w:rsid w:val="00D70C4D"/>
    <w:rsid w:val="00D728A4"/>
    <w:rsid w:val="00D735AD"/>
    <w:rsid w:val="00D73890"/>
    <w:rsid w:val="00D73C9F"/>
    <w:rsid w:val="00D755AC"/>
    <w:rsid w:val="00D76FEA"/>
    <w:rsid w:val="00D80BFB"/>
    <w:rsid w:val="00D80E68"/>
    <w:rsid w:val="00D81EFB"/>
    <w:rsid w:val="00D8278C"/>
    <w:rsid w:val="00D82C90"/>
    <w:rsid w:val="00D83E46"/>
    <w:rsid w:val="00D83F4F"/>
    <w:rsid w:val="00D8430A"/>
    <w:rsid w:val="00D86258"/>
    <w:rsid w:val="00D8642C"/>
    <w:rsid w:val="00D87AC2"/>
    <w:rsid w:val="00D87F16"/>
    <w:rsid w:val="00D9046F"/>
    <w:rsid w:val="00D909BC"/>
    <w:rsid w:val="00D9169F"/>
    <w:rsid w:val="00D91998"/>
    <w:rsid w:val="00D9218C"/>
    <w:rsid w:val="00D955A3"/>
    <w:rsid w:val="00D9711D"/>
    <w:rsid w:val="00D97310"/>
    <w:rsid w:val="00DA13DD"/>
    <w:rsid w:val="00DA3601"/>
    <w:rsid w:val="00DA4FA5"/>
    <w:rsid w:val="00DA57A8"/>
    <w:rsid w:val="00DA61E9"/>
    <w:rsid w:val="00DA7E64"/>
    <w:rsid w:val="00DB39E5"/>
    <w:rsid w:val="00DB457E"/>
    <w:rsid w:val="00DB4ECB"/>
    <w:rsid w:val="00DB5B29"/>
    <w:rsid w:val="00DB5B96"/>
    <w:rsid w:val="00DB61B4"/>
    <w:rsid w:val="00DB7277"/>
    <w:rsid w:val="00DC0693"/>
    <w:rsid w:val="00DC236F"/>
    <w:rsid w:val="00DC25DC"/>
    <w:rsid w:val="00DC5331"/>
    <w:rsid w:val="00DC56FE"/>
    <w:rsid w:val="00DC7322"/>
    <w:rsid w:val="00DC73A2"/>
    <w:rsid w:val="00DD04C5"/>
    <w:rsid w:val="00DD1CF8"/>
    <w:rsid w:val="00DD26C4"/>
    <w:rsid w:val="00DD2CD9"/>
    <w:rsid w:val="00DD2D18"/>
    <w:rsid w:val="00DD2D74"/>
    <w:rsid w:val="00DD424F"/>
    <w:rsid w:val="00DD518E"/>
    <w:rsid w:val="00DD58BD"/>
    <w:rsid w:val="00DD74C1"/>
    <w:rsid w:val="00DD7564"/>
    <w:rsid w:val="00DE0EF9"/>
    <w:rsid w:val="00DE2A43"/>
    <w:rsid w:val="00DE3C19"/>
    <w:rsid w:val="00DE580B"/>
    <w:rsid w:val="00DE7D9D"/>
    <w:rsid w:val="00DF1687"/>
    <w:rsid w:val="00DF16AD"/>
    <w:rsid w:val="00DF1B0D"/>
    <w:rsid w:val="00DF293C"/>
    <w:rsid w:val="00DF46F2"/>
    <w:rsid w:val="00DF4DD8"/>
    <w:rsid w:val="00DF5BAA"/>
    <w:rsid w:val="00DF6924"/>
    <w:rsid w:val="00DF701B"/>
    <w:rsid w:val="00DF759A"/>
    <w:rsid w:val="00E00730"/>
    <w:rsid w:val="00E00F61"/>
    <w:rsid w:val="00E020E5"/>
    <w:rsid w:val="00E02861"/>
    <w:rsid w:val="00E02B94"/>
    <w:rsid w:val="00E04CD2"/>
    <w:rsid w:val="00E04EC4"/>
    <w:rsid w:val="00E052AB"/>
    <w:rsid w:val="00E06559"/>
    <w:rsid w:val="00E06850"/>
    <w:rsid w:val="00E075A8"/>
    <w:rsid w:val="00E10E4C"/>
    <w:rsid w:val="00E12E27"/>
    <w:rsid w:val="00E15C63"/>
    <w:rsid w:val="00E17559"/>
    <w:rsid w:val="00E200EC"/>
    <w:rsid w:val="00E20897"/>
    <w:rsid w:val="00E21A03"/>
    <w:rsid w:val="00E22CBA"/>
    <w:rsid w:val="00E24591"/>
    <w:rsid w:val="00E25650"/>
    <w:rsid w:val="00E26357"/>
    <w:rsid w:val="00E26524"/>
    <w:rsid w:val="00E30DF3"/>
    <w:rsid w:val="00E32C8D"/>
    <w:rsid w:val="00E33F3A"/>
    <w:rsid w:val="00E3555D"/>
    <w:rsid w:val="00E364CE"/>
    <w:rsid w:val="00E40B93"/>
    <w:rsid w:val="00E40FC5"/>
    <w:rsid w:val="00E41FB3"/>
    <w:rsid w:val="00E4246C"/>
    <w:rsid w:val="00E4271F"/>
    <w:rsid w:val="00E43A88"/>
    <w:rsid w:val="00E4444C"/>
    <w:rsid w:val="00E45000"/>
    <w:rsid w:val="00E45371"/>
    <w:rsid w:val="00E464D8"/>
    <w:rsid w:val="00E50343"/>
    <w:rsid w:val="00E5181F"/>
    <w:rsid w:val="00E51CFE"/>
    <w:rsid w:val="00E5274F"/>
    <w:rsid w:val="00E54331"/>
    <w:rsid w:val="00E54CDB"/>
    <w:rsid w:val="00E55835"/>
    <w:rsid w:val="00E564F0"/>
    <w:rsid w:val="00E56BB6"/>
    <w:rsid w:val="00E57E49"/>
    <w:rsid w:val="00E57F39"/>
    <w:rsid w:val="00E602C5"/>
    <w:rsid w:val="00E609A7"/>
    <w:rsid w:val="00E62941"/>
    <w:rsid w:val="00E636D4"/>
    <w:rsid w:val="00E64599"/>
    <w:rsid w:val="00E64C56"/>
    <w:rsid w:val="00E651AA"/>
    <w:rsid w:val="00E65237"/>
    <w:rsid w:val="00E65376"/>
    <w:rsid w:val="00E6591E"/>
    <w:rsid w:val="00E66392"/>
    <w:rsid w:val="00E66456"/>
    <w:rsid w:val="00E66DDE"/>
    <w:rsid w:val="00E67F0F"/>
    <w:rsid w:val="00E70547"/>
    <w:rsid w:val="00E70971"/>
    <w:rsid w:val="00E71ACF"/>
    <w:rsid w:val="00E74352"/>
    <w:rsid w:val="00E74FFB"/>
    <w:rsid w:val="00E75052"/>
    <w:rsid w:val="00E76636"/>
    <w:rsid w:val="00E7665B"/>
    <w:rsid w:val="00E778D4"/>
    <w:rsid w:val="00E80447"/>
    <w:rsid w:val="00E81287"/>
    <w:rsid w:val="00E81311"/>
    <w:rsid w:val="00E822E7"/>
    <w:rsid w:val="00E82B4D"/>
    <w:rsid w:val="00E83805"/>
    <w:rsid w:val="00E841BD"/>
    <w:rsid w:val="00E849B7"/>
    <w:rsid w:val="00E854AB"/>
    <w:rsid w:val="00E863FC"/>
    <w:rsid w:val="00E86BC6"/>
    <w:rsid w:val="00E90DC8"/>
    <w:rsid w:val="00E90E99"/>
    <w:rsid w:val="00E91C61"/>
    <w:rsid w:val="00E928C0"/>
    <w:rsid w:val="00E9451B"/>
    <w:rsid w:val="00E94731"/>
    <w:rsid w:val="00E94E92"/>
    <w:rsid w:val="00E95F05"/>
    <w:rsid w:val="00E9648C"/>
    <w:rsid w:val="00EA0648"/>
    <w:rsid w:val="00EA0F93"/>
    <w:rsid w:val="00EA33F8"/>
    <w:rsid w:val="00EA39DF"/>
    <w:rsid w:val="00EA4250"/>
    <w:rsid w:val="00EA439F"/>
    <w:rsid w:val="00EA6479"/>
    <w:rsid w:val="00EA7126"/>
    <w:rsid w:val="00EA74C6"/>
    <w:rsid w:val="00EA7C7D"/>
    <w:rsid w:val="00EA7E58"/>
    <w:rsid w:val="00EB1C03"/>
    <w:rsid w:val="00EB2B5F"/>
    <w:rsid w:val="00EB30A5"/>
    <w:rsid w:val="00EB36B5"/>
    <w:rsid w:val="00EB4B01"/>
    <w:rsid w:val="00EB4E97"/>
    <w:rsid w:val="00EB53F6"/>
    <w:rsid w:val="00EB54FC"/>
    <w:rsid w:val="00EB5CFC"/>
    <w:rsid w:val="00EB69EE"/>
    <w:rsid w:val="00EB7AF3"/>
    <w:rsid w:val="00EC00DC"/>
    <w:rsid w:val="00EC1BB8"/>
    <w:rsid w:val="00EC2845"/>
    <w:rsid w:val="00EC2C3C"/>
    <w:rsid w:val="00EC3558"/>
    <w:rsid w:val="00EC3919"/>
    <w:rsid w:val="00EC3C99"/>
    <w:rsid w:val="00EC4B96"/>
    <w:rsid w:val="00EC506E"/>
    <w:rsid w:val="00EC5A27"/>
    <w:rsid w:val="00EC71B8"/>
    <w:rsid w:val="00EC7562"/>
    <w:rsid w:val="00EC75E9"/>
    <w:rsid w:val="00EC7BB7"/>
    <w:rsid w:val="00ED04D6"/>
    <w:rsid w:val="00ED0C00"/>
    <w:rsid w:val="00ED120C"/>
    <w:rsid w:val="00ED1738"/>
    <w:rsid w:val="00ED3607"/>
    <w:rsid w:val="00ED38BC"/>
    <w:rsid w:val="00ED3A6D"/>
    <w:rsid w:val="00ED3AE8"/>
    <w:rsid w:val="00ED4D6D"/>
    <w:rsid w:val="00ED5804"/>
    <w:rsid w:val="00ED620A"/>
    <w:rsid w:val="00ED65AC"/>
    <w:rsid w:val="00ED68E2"/>
    <w:rsid w:val="00EE3430"/>
    <w:rsid w:val="00EE34F5"/>
    <w:rsid w:val="00EE3AFE"/>
    <w:rsid w:val="00EE47A5"/>
    <w:rsid w:val="00EE51B9"/>
    <w:rsid w:val="00EE5829"/>
    <w:rsid w:val="00EE5B72"/>
    <w:rsid w:val="00EE74DB"/>
    <w:rsid w:val="00EF040D"/>
    <w:rsid w:val="00EF13E0"/>
    <w:rsid w:val="00EF2DC7"/>
    <w:rsid w:val="00EF6153"/>
    <w:rsid w:val="00EF647F"/>
    <w:rsid w:val="00EF6A2B"/>
    <w:rsid w:val="00EF775A"/>
    <w:rsid w:val="00EF7A96"/>
    <w:rsid w:val="00EF7DE6"/>
    <w:rsid w:val="00F01110"/>
    <w:rsid w:val="00F01492"/>
    <w:rsid w:val="00F0265B"/>
    <w:rsid w:val="00F02AFC"/>
    <w:rsid w:val="00F02B48"/>
    <w:rsid w:val="00F05778"/>
    <w:rsid w:val="00F05976"/>
    <w:rsid w:val="00F05E74"/>
    <w:rsid w:val="00F06D9C"/>
    <w:rsid w:val="00F10A9A"/>
    <w:rsid w:val="00F1233C"/>
    <w:rsid w:val="00F13C24"/>
    <w:rsid w:val="00F149F3"/>
    <w:rsid w:val="00F15916"/>
    <w:rsid w:val="00F15B06"/>
    <w:rsid w:val="00F16DD4"/>
    <w:rsid w:val="00F1774B"/>
    <w:rsid w:val="00F17F3F"/>
    <w:rsid w:val="00F209C0"/>
    <w:rsid w:val="00F21317"/>
    <w:rsid w:val="00F229A2"/>
    <w:rsid w:val="00F24304"/>
    <w:rsid w:val="00F250D6"/>
    <w:rsid w:val="00F26776"/>
    <w:rsid w:val="00F269E7"/>
    <w:rsid w:val="00F27747"/>
    <w:rsid w:val="00F30B4E"/>
    <w:rsid w:val="00F32C12"/>
    <w:rsid w:val="00F32CAE"/>
    <w:rsid w:val="00F331E0"/>
    <w:rsid w:val="00F3470C"/>
    <w:rsid w:val="00F34DA0"/>
    <w:rsid w:val="00F352EC"/>
    <w:rsid w:val="00F355F0"/>
    <w:rsid w:val="00F368B8"/>
    <w:rsid w:val="00F37B9D"/>
    <w:rsid w:val="00F415D2"/>
    <w:rsid w:val="00F42375"/>
    <w:rsid w:val="00F42C73"/>
    <w:rsid w:val="00F44041"/>
    <w:rsid w:val="00F44432"/>
    <w:rsid w:val="00F4486B"/>
    <w:rsid w:val="00F44DFC"/>
    <w:rsid w:val="00F456F5"/>
    <w:rsid w:val="00F45D13"/>
    <w:rsid w:val="00F47F43"/>
    <w:rsid w:val="00F51539"/>
    <w:rsid w:val="00F52BBF"/>
    <w:rsid w:val="00F540E8"/>
    <w:rsid w:val="00F542AC"/>
    <w:rsid w:val="00F54EDA"/>
    <w:rsid w:val="00F55258"/>
    <w:rsid w:val="00F5612E"/>
    <w:rsid w:val="00F56D66"/>
    <w:rsid w:val="00F57287"/>
    <w:rsid w:val="00F6009B"/>
    <w:rsid w:val="00F60985"/>
    <w:rsid w:val="00F61070"/>
    <w:rsid w:val="00F62AEF"/>
    <w:rsid w:val="00F62B2C"/>
    <w:rsid w:val="00F64165"/>
    <w:rsid w:val="00F64A27"/>
    <w:rsid w:val="00F6543A"/>
    <w:rsid w:val="00F65B8B"/>
    <w:rsid w:val="00F667D4"/>
    <w:rsid w:val="00F66D13"/>
    <w:rsid w:val="00F67FE0"/>
    <w:rsid w:val="00F70AD0"/>
    <w:rsid w:val="00F711D9"/>
    <w:rsid w:val="00F747AD"/>
    <w:rsid w:val="00F75A2F"/>
    <w:rsid w:val="00F760CA"/>
    <w:rsid w:val="00F773D4"/>
    <w:rsid w:val="00F80510"/>
    <w:rsid w:val="00F81A87"/>
    <w:rsid w:val="00F81DD0"/>
    <w:rsid w:val="00F82672"/>
    <w:rsid w:val="00F83360"/>
    <w:rsid w:val="00F84405"/>
    <w:rsid w:val="00F878E5"/>
    <w:rsid w:val="00F87B9E"/>
    <w:rsid w:val="00F87BB1"/>
    <w:rsid w:val="00F87F9E"/>
    <w:rsid w:val="00F9092B"/>
    <w:rsid w:val="00F90F13"/>
    <w:rsid w:val="00F91D0B"/>
    <w:rsid w:val="00F91F3D"/>
    <w:rsid w:val="00F922E3"/>
    <w:rsid w:val="00F93416"/>
    <w:rsid w:val="00F95D9D"/>
    <w:rsid w:val="00F963E3"/>
    <w:rsid w:val="00FA1331"/>
    <w:rsid w:val="00FA2286"/>
    <w:rsid w:val="00FA52A7"/>
    <w:rsid w:val="00FA5301"/>
    <w:rsid w:val="00FA58D3"/>
    <w:rsid w:val="00FA5D91"/>
    <w:rsid w:val="00FA65B5"/>
    <w:rsid w:val="00FA666D"/>
    <w:rsid w:val="00FA7096"/>
    <w:rsid w:val="00FB2891"/>
    <w:rsid w:val="00FB2900"/>
    <w:rsid w:val="00FB2987"/>
    <w:rsid w:val="00FB2D0B"/>
    <w:rsid w:val="00FB624A"/>
    <w:rsid w:val="00FB6C14"/>
    <w:rsid w:val="00FB7CDA"/>
    <w:rsid w:val="00FB7DC3"/>
    <w:rsid w:val="00FC08A7"/>
    <w:rsid w:val="00FC20D1"/>
    <w:rsid w:val="00FC247F"/>
    <w:rsid w:val="00FC2D8E"/>
    <w:rsid w:val="00FC364F"/>
    <w:rsid w:val="00FC49C9"/>
    <w:rsid w:val="00FC62F6"/>
    <w:rsid w:val="00FC667D"/>
    <w:rsid w:val="00FD1792"/>
    <w:rsid w:val="00FD1D56"/>
    <w:rsid w:val="00FD2321"/>
    <w:rsid w:val="00FD2580"/>
    <w:rsid w:val="00FD2E9C"/>
    <w:rsid w:val="00FD35AB"/>
    <w:rsid w:val="00FD472E"/>
    <w:rsid w:val="00FD49F7"/>
    <w:rsid w:val="00FD6490"/>
    <w:rsid w:val="00FD77D6"/>
    <w:rsid w:val="00FD7A84"/>
    <w:rsid w:val="00FE0934"/>
    <w:rsid w:val="00FE2814"/>
    <w:rsid w:val="00FE65B2"/>
    <w:rsid w:val="00FE6C32"/>
    <w:rsid w:val="00FE723C"/>
    <w:rsid w:val="00FF00EA"/>
    <w:rsid w:val="00FF1347"/>
    <w:rsid w:val="00FF22B3"/>
    <w:rsid w:val="00FF2852"/>
    <w:rsid w:val="00FF2C9A"/>
    <w:rsid w:val="00FF4A63"/>
    <w:rsid w:val="00FF4C58"/>
    <w:rsid w:val="00FF77B5"/>
    <w:rsid w:val="00FF7C2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6EB7A"/>
  <w15:docId w15:val="{81FDCC8F-E36C-47C8-BD0B-27131DDDE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hu-H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AA083C"/>
    <w:pPr>
      <w:jc w:val="center"/>
    </w:pPr>
  </w:style>
  <w:style w:type="paragraph" w:styleId="Cmsor2">
    <w:name w:val="heading 2"/>
    <w:basedOn w:val="Norml"/>
    <w:next w:val="Norml"/>
    <w:link w:val="Cmsor2Char"/>
    <w:uiPriority w:val="9"/>
    <w:unhideWhenUsed/>
    <w:qFormat/>
    <w:rsid w:val="003F30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Cmsor3">
    <w:name w:val="heading 3"/>
    <w:basedOn w:val="Norml"/>
    <w:next w:val="Norml"/>
    <w:link w:val="Cmsor3Char"/>
    <w:uiPriority w:val="9"/>
    <w:unhideWhenUsed/>
    <w:qFormat/>
    <w:rsid w:val="002B5A69"/>
    <w:pPr>
      <w:keepNext/>
      <w:keepLines/>
      <w:spacing w:before="200"/>
      <w:outlineLvl w:val="2"/>
    </w:pPr>
    <w:rPr>
      <w:rFonts w:asciiTheme="majorHAnsi" w:eastAsiaTheme="majorEastAsia" w:hAnsiTheme="majorHAnsi" w:cstheme="majorBidi"/>
      <w:b/>
      <w:b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FD6490"/>
    <w:rPr>
      <w:rFonts w:ascii="Tahoma" w:hAnsi="Tahoma" w:cs="Tahoma"/>
      <w:sz w:val="16"/>
      <w:szCs w:val="16"/>
    </w:rPr>
  </w:style>
  <w:style w:type="character" w:customStyle="1" w:styleId="BuborkszvegChar">
    <w:name w:val="Buborékszöveg Char"/>
    <w:basedOn w:val="Bekezdsalapbettpusa"/>
    <w:link w:val="Buborkszveg"/>
    <w:uiPriority w:val="99"/>
    <w:semiHidden/>
    <w:rsid w:val="00FD6490"/>
    <w:rPr>
      <w:rFonts w:ascii="Tahoma" w:hAnsi="Tahoma" w:cs="Tahoma"/>
      <w:sz w:val="16"/>
      <w:szCs w:val="16"/>
    </w:rPr>
  </w:style>
  <w:style w:type="paragraph" w:styleId="Listaszerbekezds">
    <w:name w:val="List Paragraph"/>
    <w:basedOn w:val="Norml"/>
    <w:uiPriority w:val="34"/>
    <w:qFormat/>
    <w:rsid w:val="00C32FDA"/>
    <w:pPr>
      <w:ind w:left="720"/>
      <w:contextualSpacing/>
    </w:pPr>
  </w:style>
  <w:style w:type="paragraph" w:styleId="Kpalrs">
    <w:name w:val="caption"/>
    <w:basedOn w:val="Norml"/>
    <w:next w:val="Norml"/>
    <w:uiPriority w:val="35"/>
    <w:unhideWhenUsed/>
    <w:qFormat/>
    <w:rsid w:val="005D5C5E"/>
    <w:pPr>
      <w:spacing w:after="200"/>
    </w:pPr>
    <w:rPr>
      <w:b/>
      <w:bCs/>
      <w:color w:val="4F81BD" w:themeColor="accent1"/>
      <w:sz w:val="18"/>
      <w:szCs w:val="18"/>
    </w:rPr>
  </w:style>
  <w:style w:type="character" w:styleId="Jegyzethivatkozs">
    <w:name w:val="annotation reference"/>
    <w:basedOn w:val="Bekezdsalapbettpusa"/>
    <w:uiPriority w:val="99"/>
    <w:semiHidden/>
    <w:unhideWhenUsed/>
    <w:rsid w:val="00EC4B96"/>
    <w:rPr>
      <w:sz w:val="16"/>
      <w:szCs w:val="16"/>
    </w:rPr>
  </w:style>
  <w:style w:type="paragraph" w:styleId="Jegyzetszveg">
    <w:name w:val="annotation text"/>
    <w:basedOn w:val="Norml"/>
    <w:link w:val="JegyzetszvegChar"/>
    <w:uiPriority w:val="99"/>
    <w:semiHidden/>
    <w:unhideWhenUsed/>
    <w:rsid w:val="00EC4B96"/>
    <w:rPr>
      <w:sz w:val="20"/>
      <w:szCs w:val="20"/>
    </w:rPr>
  </w:style>
  <w:style w:type="character" w:customStyle="1" w:styleId="JegyzetszvegChar">
    <w:name w:val="Jegyzetszöveg Char"/>
    <w:basedOn w:val="Bekezdsalapbettpusa"/>
    <w:link w:val="Jegyzetszveg"/>
    <w:uiPriority w:val="99"/>
    <w:semiHidden/>
    <w:rsid w:val="00EC4B96"/>
    <w:rPr>
      <w:sz w:val="20"/>
      <w:szCs w:val="20"/>
    </w:rPr>
  </w:style>
  <w:style w:type="paragraph" w:styleId="Megjegyzstrgya">
    <w:name w:val="annotation subject"/>
    <w:basedOn w:val="Jegyzetszveg"/>
    <w:next w:val="Jegyzetszveg"/>
    <w:link w:val="MegjegyzstrgyaChar"/>
    <w:uiPriority w:val="99"/>
    <w:semiHidden/>
    <w:unhideWhenUsed/>
    <w:rsid w:val="00EC4B96"/>
    <w:rPr>
      <w:bCs/>
    </w:rPr>
  </w:style>
  <w:style w:type="character" w:customStyle="1" w:styleId="MegjegyzstrgyaChar">
    <w:name w:val="Megjegyzés tárgya Char"/>
    <w:basedOn w:val="JegyzetszvegChar"/>
    <w:link w:val="Megjegyzstrgya"/>
    <w:uiPriority w:val="99"/>
    <w:semiHidden/>
    <w:rsid w:val="00EC4B96"/>
    <w:rPr>
      <w:bCs/>
      <w:sz w:val="20"/>
      <w:szCs w:val="20"/>
    </w:rPr>
  </w:style>
  <w:style w:type="paragraph" w:styleId="lfej">
    <w:name w:val="header"/>
    <w:basedOn w:val="Norml"/>
    <w:link w:val="lfejChar"/>
    <w:uiPriority w:val="99"/>
    <w:unhideWhenUsed/>
    <w:rsid w:val="00A91117"/>
    <w:pPr>
      <w:tabs>
        <w:tab w:val="center" w:pos="4536"/>
        <w:tab w:val="right" w:pos="9072"/>
      </w:tabs>
    </w:pPr>
  </w:style>
  <w:style w:type="character" w:customStyle="1" w:styleId="lfejChar">
    <w:name w:val="Élőfej Char"/>
    <w:basedOn w:val="Bekezdsalapbettpusa"/>
    <w:link w:val="lfej"/>
    <w:uiPriority w:val="99"/>
    <w:rsid w:val="00A91117"/>
  </w:style>
  <w:style w:type="paragraph" w:styleId="llb">
    <w:name w:val="footer"/>
    <w:basedOn w:val="Norml"/>
    <w:link w:val="llbChar"/>
    <w:uiPriority w:val="99"/>
    <w:unhideWhenUsed/>
    <w:rsid w:val="00A91117"/>
    <w:pPr>
      <w:tabs>
        <w:tab w:val="center" w:pos="4536"/>
        <w:tab w:val="right" w:pos="9072"/>
      </w:tabs>
    </w:pPr>
  </w:style>
  <w:style w:type="character" w:customStyle="1" w:styleId="llbChar">
    <w:name w:val="Élőláb Char"/>
    <w:basedOn w:val="Bekezdsalapbettpusa"/>
    <w:link w:val="llb"/>
    <w:uiPriority w:val="99"/>
    <w:rsid w:val="00A91117"/>
  </w:style>
  <w:style w:type="numbering" w:customStyle="1" w:styleId="Stlus1">
    <w:name w:val="Stílus1"/>
    <w:uiPriority w:val="99"/>
    <w:rsid w:val="008426AC"/>
    <w:pPr>
      <w:numPr>
        <w:numId w:val="4"/>
      </w:numPr>
    </w:pPr>
  </w:style>
  <w:style w:type="paragraph" w:styleId="Vltozat">
    <w:name w:val="Revision"/>
    <w:hidden/>
    <w:uiPriority w:val="99"/>
    <w:semiHidden/>
    <w:rsid w:val="0001411F"/>
    <w:pPr>
      <w:jc w:val="left"/>
    </w:pPr>
  </w:style>
  <w:style w:type="character" w:customStyle="1" w:styleId="Cmsor2Char">
    <w:name w:val="Címsor 2 Char"/>
    <w:basedOn w:val="Bekezdsalapbettpusa"/>
    <w:link w:val="Cmsor2"/>
    <w:uiPriority w:val="9"/>
    <w:rsid w:val="003F3070"/>
    <w:rPr>
      <w:rFonts w:asciiTheme="majorHAnsi" w:eastAsiaTheme="majorEastAsia" w:hAnsiTheme="majorHAnsi" w:cstheme="majorBidi"/>
      <w:b/>
      <w:bCs/>
      <w:color w:val="4F81BD" w:themeColor="accent1"/>
      <w:sz w:val="26"/>
      <w:szCs w:val="26"/>
    </w:rPr>
  </w:style>
  <w:style w:type="character" w:styleId="Finomhivatkozs">
    <w:name w:val="Subtle Reference"/>
    <w:basedOn w:val="Bekezdsalapbettpusa"/>
    <w:uiPriority w:val="31"/>
    <w:qFormat/>
    <w:rsid w:val="003F3070"/>
    <w:rPr>
      <w:smallCaps/>
      <w:color w:val="C0504D" w:themeColor="accent2"/>
      <w:u w:val="single"/>
    </w:rPr>
  </w:style>
  <w:style w:type="character" w:customStyle="1" w:styleId="Cmsor3Char">
    <w:name w:val="Címsor 3 Char"/>
    <w:basedOn w:val="Bekezdsalapbettpusa"/>
    <w:link w:val="Cmsor3"/>
    <w:uiPriority w:val="9"/>
    <w:rsid w:val="002B5A69"/>
    <w:rPr>
      <w:rFonts w:asciiTheme="majorHAnsi" w:eastAsiaTheme="majorEastAsia" w:hAnsiTheme="majorHAnsi" w:cstheme="majorBidi"/>
      <w:b/>
      <w:bCs/>
      <w:color w:val="4F81BD" w:themeColor="accent1"/>
    </w:rPr>
  </w:style>
  <w:style w:type="paragraph" w:styleId="Kiemeltidzet">
    <w:name w:val="Intense Quote"/>
    <w:basedOn w:val="Norml"/>
    <w:next w:val="Norml"/>
    <w:link w:val="KiemeltidzetChar"/>
    <w:uiPriority w:val="30"/>
    <w:qFormat/>
    <w:rsid w:val="002B5A69"/>
    <w:pPr>
      <w:pBdr>
        <w:bottom w:val="single" w:sz="4" w:space="4" w:color="4F81BD" w:themeColor="accent1"/>
      </w:pBdr>
      <w:spacing w:before="200" w:after="280"/>
      <w:ind w:left="936" w:right="936"/>
    </w:pPr>
    <w:rPr>
      <w:b/>
      <w:bCs/>
      <w:i/>
      <w:iCs/>
      <w:color w:val="4F81BD" w:themeColor="accent1"/>
    </w:rPr>
  </w:style>
  <w:style w:type="character" w:customStyle="1" w:styleId="KiemeltidzetChar">
    <w:name w:val="Kiemelt idézet Char"/>
    <w:basedOn w:val="Bekezdsalapbettpusa"/>
    <w:link w:val="Kiemeltidzet"/>
    <w:uiPriority w:val="30"/>
    <w:rsid w:val="002B5A69"/>
    <w:rPr>
      <w:b/>
      <w:bCs/>
      <w:i/>
      <w:iCs/>
      <w:color w:val="4F81BD" w:themeColor="accent1"/>
    </w:rPr>
  </w:style>
  <w:style w:type="character" w:styleId="Erskiemels">
    <w:name w:val="Intense Emphasis"/>
    <w:basedOn w:val="Bekezdsalapbettpusa"/>
    <w:uiPriority w:val="21"/>
    <w:qFormat/>
    <w:rsid w:val="002B5A69"/>
    <w:rPr>
      <w:b/>
      <w:bCs/>
      <w:i/>
      <w:iCs/>
      <w:color w:val="4F81BD" w:themeColor="accent1"/>
    </w:rPr>
  </w:style>
  <w:style w:type="table" w:styleId="Rcsostblzat">
    <w:name w:val="Table Grid"/>
    <w:basedOn w:val="Normltblzat"/>
    <w:uiPriority w:val="59"/>
    <w:rsid w:val="00A500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hivatkozs">
    <w:name w:val="Hyperlink"/>
    <w:basedOn w:val="Bekezdsalapbettpusa"/>
    <w:uiPriority w:val="99"/>
    <w:unhideWhenUsed/>
    <w:rsid w:val="0097762F"/>
    <w:rPr>
      <w:color w:val="0000FF"/>
      <w:u w:val="single"/>
    </w:rPr>
  </w:style>
  <w:style w:type="character" w:styleId="Mrltotthiperhivatkozs">
    <w:name w:val="FollowedHyperlink"/>
    <w:basedOn w:val="Bekezdsalapbettpusa"/>
    <w:uiPriority w:val="99"/>
    <w:semiHidden/>
    <w:unhideWhenUsed/>
    <w:rsid w:val="00944E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5136032">
      <w:bodyDiv w:val="1"/>
      <w:marLeft w:val="0"/>
      <w:marRight w:val="0"/>
      <w:marTop w:val="0"/>
      <w:marBottom w:val="0"/>
      <w:divBdr>
        <w:top w:val="none" w:sz="0" w:space="0" w:color="auto"/>
        <w:left w:val="none" w:sz="0" w:space="0" w:color="auto"/>
        <w:bottom w:val="none" w:sz="0" w:space="0" w:color="auto"/>
        <w:right w:val="none" w:sz="0" w:space="0" w:color="auto"/>
      </w:divBdr>
    </w:div>
    <w:div w:id="311567129">
      <w:bodyDiv w:val="1"/>
      <w:marLeft w:val="0"/>
      <w:marRight w:val="0"/>
      <w:marTop w:val="0"/>
      <w:marBottom w:val="0"/>
      <w:divBdr>
        <w:top w:val="none" w:sz="0" w:space="0" w:color="auto"/>
        <w:left w:val="none" w:sz="0" w:space="0" w:color="auto"/>
        <w:bottom w:val="none" w:sz="0" w:space="0" w:color="auto"/>
        <w:right w:val="none" w:sz="0" w:space="0" w:color="auto"/>
      </w:divBdr>
    </w:div>
    <w:div w:id="392192098">
      <w:bodyDiv w:val="1"/>
      <w:marLeft w:val="0"/>
      <w:marRight w:val="0"/>
      <w:marTop w:val="0"/>
      <w:marBottom w:val="0"/>
      <w:divBdr>
        <w:top w:val="none" w:sz="0" w:space="0" w:color="auto"/>
        <w:left w:val="none" w:sz="0" w:space="0" w:color="auto"/>
        <w:bottom w:val="none" w:sz="0" w:space="0" w:color="auto"/>
        <w:right w:val="none" w:sz="0" w:space="0" w:color="auto"/>
      </w:divBdr>
    </w:div>
    <w:div w:id="425736978">
      <w:bodyDiv w:val="1"/>
      <w:marLeft w:val="0"/>
      <w:marRight w:val="0"/>
      <w:marTop w:val="0"/>
      <w:marBottom w:val="0"/>
      <w:divBdr>
        <w:top w:val="none" w:sz="0" w:space="0" w:color="auto"/>
        <w:left w:val="none" w:sz="0" w:space="0" w:color="auto"/>
        <w:bottom w:val="none" w:sz="0" w:space="0" w:color="auto"/>
        <w:right w:val="none" w:sz="0" w:space="0" w:color="auto"/>
      </w:divBdr>
    </w:div>
    <w:div w:id="826482766">
      <w:bodyDiv w:val="1"/>
      <w:marLeft w:val="0"/>
      <w:marRight w:val="0"/>
      <w:marTop w:val="0"/>
      <w:marBottom w:val="0"/>
      <w:divBdr>
        <w:top w:val="none" w:sz="0" w:space="0" w:color="auto"/>
        <w:left w:val="none" w:sz="0" w:space="0" w:color="auto"/>
        <w:bottom w:val="none" w:sz="0" w:space="0" w:color="auto"/>
        <w:right w:val="none" w:sz="0" w:space="0" w:color="auto"/>
      </w:divBdr>
    </w:div>
    <w:div w:id="988899738">
      <w:bodyDiv w:val="1"/>
      <w:marLeft w:val="0"/>
      <w:marRight w:val="0"/>
      <w:marTop w:val="0"/>
      <w:marBottom w:val="0"/>
      <w:divBdr>
        <w:top w:val="none" w:sz="0" w:space="0" w:color="auto"/>
        <w:left w:val="none" w:sz="0" w:space="0" w:color="auto"/>
        <w:bottom w:val="none" w:sz="0" w:space="0" w:color="auto"/>
        <w:right w:val="none" w:sz="0" w:space="0" w:color="auto"/>
      </w:divBdr>
    </w:div>
    <w:div w:id="1072237468">
      <w:bodyDiv w:val="1"/>
      <w:marLeft w:val="0"/>
      <w:marRight w:val="0"/>
      <w:marTop w:val="0"/>
      <w:marBottom w:val="0"/>
      <w:divBdr>
        <w:top w:val="none" w:sz="0" w:space="0" w:color="auto"/>
        <w:left w:val="none" w:sz="0" w:space="0" w:color="auto"/>
        <w:bottom w:val="none" w:sz="0" w:space="0" w:color="auto"/>
        <w:right w:val="none" w:sz="0" w:space="0" w:color="auto"/>
      </w:divBdr>
    </w:div>
    <w:div w:id="1603296680">
      <w:bodyDiv w:val="1"/>
      <w:marLeft w:val="0"/>
      <w:marRight w:val="0"/>
      <w:marTop w:val="0"/>
      <w:marBottom w:val="0"/>
      <w:divBdr>
        <w:top w:val="none" w:sz="0" w:space="0" w:color="auto"/>
        <w:left w:val="none" w:sz="0" w:space="0" w:color="auto"/>
        <w:bottom w:val="none" w:sz="0" w:space="0" w:color="auto"/>
        <w:right w:val="none" w:sz="0" w:space="0" w:color="auto"/>
      </w:divBdr>
    </w:div>
    <w:div w:id="1617133092">
      <w:bodyDiv w:val="1"/>
      <w:marLeft w:val="0"/>
      <w:marRight w:val="0"/>
      <w:marTop w:val="0"/>
      <w:marBottom w:val="0"/>
      <w:divBdr>
        <w:top w:val="none" w:sz="0" w:space="0" w:color="auto"/>
        <w:left w:val="none" w:sz="0" w:space="0" w:color="auto"/>
        <w:bottom w:val="none" w:sz="0" w:space="0" w:color="auto"/>
        <w:right w:val="none" w:sz="0" w:space="0" w:color="auto"/>
      </w:divBdr>
    </w:div>
    <w:div w:id="18634003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chart" Target="charts/chart1.xml"/><Relationship Id="rId18" Type="http://schemas.openxmlformats.org/officeDocument/2006/relationships/chart" Target="charts/chart6.xml"/><Relationship Id="rId26" Type="http://schemas.openxmlformats.org/officeDocument/2006/relationships/chart" Target="charts/chart14.xml"/><Relationship Id="rId3" Type="http://schemas.openxmlformats.org/officeDocument/2006/relationships/styles" Target="styles.xml"/><Relationship Id="rId21" Type="http://schemas.openxmlformats.org/officeDocument/2006/relationships/chart" Target="charts/chart9.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chart" Target="charts/chart5.xml"/><Relationship Id="rId25" Type="http://schemas.openxmlformats.org/officeDocument/2006/relationships/chart" Target="charts/chart13.xml"/><Relationship Id="rId2" Type="http://schemas.openxmlformats.org/officeDocument/2006/relationships/numbering" Target="numbering.xml"/><Relationship Id="rId16" Type="http://schemas.openxmlformats.org/officeDocument/2006/relationships/chart" Target="charts/chart4.xml"/><Relationship Id="rId20" Type="http://schemas.openxmlformats.org/officeDocument/2006/relationships/chart" Target="charts/chart8.xml"/><Relationship Id="rId29" Type="http://schemas.openxmlformats.org/officeDocument/2006/relationships/hyperlink" Target="https://www.ksh.hu/stadat_files/mez/hu/mez0106.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chart" Target="charts/chart1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hart" Target="charts/chart3.xml"/><Relationship Id="rId23" Type="http://schemas.openxmlformats.org/officeDocument/2006/relationships/chart" Target="charts/chart11.xml"/><Relationship Id="rId28" Type="http://schemas.openxmlformats.org/officeDocument/2006/relationships/hyperlink" Target="https://agrarstatisztika.kormany.hu/agrarhitelek" TargetMode="External"/><Relationship Id="rId10" Type="http://schemas.openxmlformats.org/officeDocument/2006/relationships/diagramQuickStyle" Target="diagrams/quickStyle1.xml"/><Relationship Id="rId19" Type="http://schemas.openxmlformats.org/officeDocument/2006/relationships/chart" Target="charts/chart7.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chart" Target="charts/chart2.xml"/><Relationship Id="rId22" Type="http://schemas.openxmlformats.org/officeDocument/2006/relationships/chart" Target="charts/chart10.xml"/><Relationship Id="rId27" Type="http://schemas.openxmlformats.org/officeDocument/2006/relationships/chart" Target="charts/chart15.xml"/><Relationship Id="rId30" Type="http://schemas.openxmlformats.org/officeDocument/2006/relationships/footer" Target="footer1.xml"/></Relationships>
</file>

<file path=word/charts/_rels/chart1.xml.rels><?xml version="1.0" encoding="UTF-8" standalone="yes"?>
<Relationships xmlns="http://schemas.openxmlformats.org/package/2006/relationships"><Relationship Id="rId2"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3" Type="http://schemas.openxmlformats.org/officeDocument/2006/relationships/themeOverride" Target="../theme/themeOverride10.xm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s>
</file>

<file path=word/charts/_rels/chart11.xml.rels><?xml version="1.0" encoding="UTF-8" standalone="yes"?>
<Relationships xmlns="http://schemas.openxmlformats.org/package/2006/relationships"><Relationship Id="rId3" Type="http://schemas.openxmlformats.org/officeDocument/2006/relationships/themeOverride" Target="../theme/themeOverride11.xm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s>
</file>

<file path=word/charts/_rels/chart12.xml.rels><?xml version="1.0" encoding="UTF-8" standalone="yes"?>
<Relationships xmlns="http://schemas.openxmlformats.org/package/2006/relationships"><Relationship Id="rId2"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3" Type="http://schemas.openxmlformats.org/officeDocument/2006/relationships/themeOverride" Target="../theme/themeOverride14.xm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5.xml"/><Relationship Id="rId2" Type="http://schemas.microsoft.com/office/2011/relationships/chartColorStyle" Target="colors7.xml"/><Relationship Id="rId1" Type="http://schemas.microsoft.com/office/2011/relationships/chartStyle" Target="style7.xml"/><Relationship Id="rId4"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s>
</file>

<file path=word/charts/_rels/chart2.xml.rels><?xml version="1.0" encoding="UTF-8" standalone="yes"?>
<Relationships xmlns="http://schemas.openxmlformats.org/package/2006/relationships"><Relationship Id="rId2"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3.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s>
</file>

<file path=word/charts/_rels/chart4.xml.rels><?xml version="1.0" encoding="UTF-8" standalone="yes"?>
<Relationships xmlns="http://schemas.openxmlformats.org/package/2006/relationships"><Relationship Id="rId2"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3" Type="http://schemas.openxmlformats.org/officeDocument/2006/relationships/themeOverride" Target="../theme/themeOverride8.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s>
</file>

<file path=word/charts/_rels/chart9.xml.rels><?xml version="1.0" encoding="UTF-8" standalone="yes"?>
<Relationships xmlns="http://schemas.openxmlformats.org/package/2006/relationships"><Relationship Id="rId3" Type="http://schemas.openxmlformats.org/officeDocument/2006/relationships/themeOverride" Target="../theme/themeOverride9.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C:\Reiter%20Szilvia\W10migracio_ReiterSzilvia\Agrarstatisztika%20honlap\HITREG%20-%20Felt&#246;ltend&#337;%20f&#225;jlok\2024_IV_negyed&#233;ves%20felt&#246;lt&#233;s\&#193;br&#225;k_sz&#225;mol&#225;s_&#250;j_2024Q4.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'2. ábra'!$A$34</c:f>
              <c:strCache>
                <c:ptCount val="1"/>
                <c:pt idx="0">
                  <c:v>Mgi hitel összes (milliárd forint)</c:v>
                </c:pt>
              </c:strCache>
            </c:strRef>
          </c:tx>
          <c:spPr>
            <a:solidFill>
              <a:schemeClr val="accent3">
                <a:lumMod val="60000"/>
                <a:lumOff val="40000"/>
              </a:schemeClr>
            </a:solidFill>
          </c:spPr>
          <c:invertIfNegative val="0"/>
          <c:dLbls>
            <c:spPr>
              <a:noFill/>
              <a:ln>
                <a:noFill/>
              </a:ln>
              <a:effectLst/>
            </c:spPr>
            <c:txPr>
              <a:bodyPr rot="-5400000" vert="horz"/>
              <a:lstStyle/>
              <a:p>
                <a:pPr>
                  <a:defRPr sz="800"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 ábra'!$B$33:$I$33</c:f>
              <c:strCache>
                <c:ptCount val="8"/>
                <c:pt idx="0">
                  <c:v>2023. I.</c:v>
                </c:pt>
                <c:pt idx="1">
                  <c:v>2023. II.</c:v>
                </c:pt>
                <c:pt idx="2">
                  <c:v>2023. III.</c:v>
                </c:pt>
                <c:pt idx="3">
                  <c:v>2023. IV. </c:v>
                </c:pt>
                <c:pt idx="4">
                  <c:v>2024. I.</c:v>
                </c:pt>
                <c:pt idx="5">
                  <c:v>2024. II.</c:v>
                </c:pt>
                <c:pt idx="6">
                  <c:v>2024. III.</c:v>
                </c:pt>
                <c:pt idx="7">
                  <c:v>2024. IV.</c:v>
                </c:pt>
              </c:strCache>
            </c:strRef>
          </c:cat>
          <c:val>
            <c:numRef>
              <c:f>'2. ábra'!$B$34:$I$34</c:f>
              <c:numCache>
                <c:formatCode>#\ ##0.0</c:formatCode>
                <c:ptCount val="8"/>
                <c:pt idx="0">
                  <c:v>983.80523750700002</c:v>
                </c:pt>
                <c:pt idx="1">
                  <c:v>1043.927105897</c:v>
                </c:pt>
                <c:pt idx="2">
                  <c:v>1065.7466073100002</c:v>
                </c:pt>
                <c:pt idx="3">
                  <c:v>1057.2008647499999</c:v>
                </c:pt>
                <c:pt idx="4">
                  <c:v>1064.7874670839999</c:v>
                </c:pt>
                <c:pt idx="5">
                  <c:v>1072.2702663080001</c:v>
                </c:pt>
                <c:pt idx="6">
                  <c:v>1060.7878642210001</c:v>
                </c:pt>
                <c:pt idx="7">
                  <c:v>1048.1778728480001</c:v>
                </c:pt>
              </c:numCache>
            </c:numRef>
          </c:val>
          <c:extLst xmlns:c16r2="http://schemas.microsoft.com/office/drawing/2015/06/chart">
            <c:ext xmlns:c16="http://schemas.microsoft.com/office/drawing/2014/chart" uri="{C3380CC4-5D6E-409C-BE32-E72D297353CC}">
              <c16:uniqueId val="{00000000-83D9-4E92-B48D-C474922F062E}"/>
            </c:ext>
          </c:extLst>
        </c:ser>
        <c:ser>
          <c:idx val="1"/>
          <c:order val="1"/>
          <c:tx>
            <c:strRef>
              <c:f>'2. ábra'!$A$35</c:f>
              <c:strCache>
                <c:ptCount val="1"/>
                <c:pt idx="0">
                  <c:v>Élip hitel összes (milliárd forint)</c:v>
                </c:pt>
              </c:strCache>
            </c:strRef>
          </c:tx>
          <c:spPr>
            <a:solidFill>
              <a:schemeClr val="accent1">
                <a:lumMod val="60000"/>
                <a:lumOff val="40000"/>
              </a:schemeClr>
            </a:solidFill>
          </c:spPr>
          <c:invertIfNegative val="0"/>
          <c:dLbls>
            <c:spPr>
              <a:noFill/>
              <a:ln>
                <a:noFill/>
              </a:ln>
              <a:effectLst/>
            </c:spPr>
            <c:txPr>
              <a:bodyPr rot="-5400000" vert="horz"/>
              <a:lstStyle/>
              <a:p>
                <a:pPr>
                  <a:defRPr sz="800"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'2. ábra'!$B$33:$I$33</c:f>
              <c:strCache>
                <c:ptCount val="8"/>
                <c:pt idx="0">
                  <c:v>2023. I.</c:v>
                </c:pt>
                <c:pt idx="1">
                  <c:v>2023. II.</c:v>
                </c:pt>
                <c:pt idx="2">
                  <c:v>2023. III.</c:v>
                </c:pt>
                <c:pt idx="3">
                  <c:v>2023. IV. </c:v>
                </c:pt>
                <c:pt idx="4">
                  <c:v>2024. I.</c:v>
                </c:pt>
                <c:pt idx="5">
                  <c:v>2024. II.</c:v>
                </c:pt>
                <c:pt idx="6">
                  <c:v>2024. III.</c:v>
                </c:pt>
                <c:pt idx="7">
                  <c:v>2024. IV.</c:v>
                </c:pt>
              </c:strCache>
            </c:strRef>
          </c:cat>
          <c:val>
            <c:numRef>
              <c:f>'2. ábra'!$B$35:$I$35</c:f>
              <c:numCache>
                <c:formatCode>#\ ##0.0</c:formatCode>
                <c:ptCount val="8"/>
                <c:pt idx="0">
                  <c:v>744.70807312099998</c:v>
                </c:pt>
                <c:pt idx="1">
                  <c:v>731.63565528200002</c:v>
                </c:pt>
                <c:pt idx="2">
                  <c:v>758.39758396800005</c:v>
                </c:pt>
                <c:pt idx="3">
                  <c:v>749.51434033599992</c:v>
                </c:pt>
                <c:pt idx="4">
                  <c:v>742.5295085539999</c:v>
                </c:pt>
                <c:pt idx="5">
                  <c:v>705.80439691000004</c:v>
                </c:pt>
                <c:pt idx="6">
                  <c:v>721.10917214699998</c:v>
                </c:pt>
                <c:pt idx="7">
                  <c:v>756.003716833</c:v>
                </c:pt>
              </c:numCache>
            </c:numRef>
          </c:val>
          <c:extLst xmlns:c16r2="http://schemas.microsoft.com/office/drawing/2015/06/chart">
            <c:ext xmlns:c16="http://schemas.microsoft.com/office/drawing/2014/chart" uri="{C3380CC4-5D6E-409C-BE32-E72D297353CC}">
              <c16:uniqueId val="{00000001-83D9-4E92-B48D-C474922F062E}"/>
            </c:ext>
          </c:extLst>
        </c:ser>
        <c:dLbls>
          <c:showLegendKey val="0"/>
          <c:showVal val="1"/>
          <c:showCatName val="0"/>
          <c:showSerName val="0"/>
          <c:showPercent val="0"/>
          <c:showBubbleSize val="0"/>
        </c:dLbls>
        <c:gapWidth val="150"/>
        <c:axId val="520919416"/>
        <c:axId val="520921376"/>
      </c:barChart>
      <c:catAx>
        <c:axId val="520919416"/>
        <c:scaling>
          <c:orientation val="minMax"/>
        </c:scaling>
        <c:delete val="0"/>
        <c:axPos val="b"/>
        <c:numFmt formatCode="General" sourceLinked="0"/>
        <c:majorTickMark val="out"/>
        <c:minorTickMark val="none"/>
        <c:tickLblPos val="nextTo"/>
        <c:txPr>
          <a:bodyPr/>
          <a:lstStyle/>
          <a:p>
            <a:pPr>
              <a:defRPr sz="800"/>
            </a:pPr>
            <a:endParaRPr lang="hu-HU"/>
          </a:p>
        </c:txPr>
        <c:crossAx val="520921376"/>
        <c:crosses val="autoZero"/>
        <c:auto val="1"/>
        <c:lblAlgn val="ctr"/>
        <c:lblOffset val="100"/>
        <c:noMultiLvlLbl val="0"/>
      </c:catAx>
      <c:valAx>
        <c:axId val="520921376"/>
        <c:scaling>
          <c:orientation val="minMax"/>
        </c:scaling>
        <c:delete val="0"/>
        <c:axPos val="l"/>
        <c:majorGridlines/>
        <c:numFmt formatCode="#\ ##0.0" sourceLinked="1"/>
        <c:majorTickMark val="out"/>
        <c:minorTickMark val="none"/>
        <c:tickLblPos val="nextTo"/>
        <c:txPr>
          <a:bodyPr/>
          <a:lstStyle/>
          <a:p>
            <a:pPr>
              <a:defRPr sz="800"/>
            </a:pPr>
            <a:endParaRPr lang="hu-HU"/>
          </a:p>
        </c:txPr>
        <c:crossAx val="520919416"/>
        <c:crosses val="autoZero"/>
        <c:crossBetween val="between"/>
      </c:valAx>
    </c:plotArea>
    <c:legend>
      <c:legendPos val="b"/>
      <c:overlay val="0"/>
      <c:txPr>
        <a:bodyPr/>
        <a:lstStyle/>
        <a:p>
          <a:pPr>
            <a:defRPr sz="800"/>
          </a:pPr>
          <a:endParaRPr lang="hu-HU"/>
        </a:p>
      </c:txPr>
    </c:legend>
    <c:plotVisOnly val="1"/>
    <c:dispBlanksAs val="gap"/>
    <c:showDLblsOverMax val="0"/>
  </c:chart>
  <c:spPr>
    <a:ln>
      <a:noFill/>
    </a:ln>
  </c:spPr>
  <c:txPr>
    <a:bodyPr/>
    <a:lstStyle/>
    <a:p>
      <a:pPr>
        <a:defRPr sz="800">
          <a:solidFill>
            <a:schemeClr val="tx1"/>
          </a:solidFill>
          <a:latin typeface="Times New Roman" panose="02020603050405020304" pitchFamily="18" charset="0"/>
          <a:cs typeface="Times New Roman" panose="02020603050405020304" pitchFamily="18" charset="0"/>
        </a:defRPr>
      </a:pPr>
      <a:endParaRPr lang="hu-HU"/>
    </a:p>
  </c:txPr>
  <c:externalData r:id="rId2">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'9. ábra'!$D$6</c:f>
              <c:strCache>
                <c:ptCount val="1"/>
                <c:pt idx="0">
                  <c:v>Mezőgazdaság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 ábra'!$E$5:$J$5</c:f>
              <c:strCache>
                <c:ptCount val="6"/>
                <c:pt idx="0">
                  <c:v>Beruházási hitelek</c:v>
                </c:pt>
                <c:pt idx="1">
                  <c:v>Hosszú lej. forgóeszközhitelek</c:v>
                </c:pt>
                <c:pt idx="2">
                  <c:v>Forint folyószámlahitelek</c:v>
                </c:pt>
                <c:pt idx="3">
                  <c:v>Egyéb éven belüli hitelek</c:v>
                </c:pt>
                <c:pt idx="4">
                  <c:v>Egyéb hitelek</c:v>
                </c:pt>
                <c:pt idx="5">
                  <c:v>Forinthitelek összesen</c:v>
                </c:pt>
              </c:strCache>
            </c:strRef>
          </c:cat>
          <c:val>
            <c:numRef>
              <c:f>'9. ábra'!$E$6:$J$6</c:f>
              <c:numCache>
                <c:formatCode>#\ ##0.0</c:formatCode>
                <c:ptCount val="6"/>
                <c:pt idx="0">
                  <c:v>8.3685877751257731</c:v>
                </c:pt>
                <c:pt idx="1">
                  <c:v>8.2098325397681791</c:v>
                </c:pt>
                <c:pt idx="2">
                  <c:v>8.3414317334144261</c:v>
                </c:pt>
                <c:pt idx="3">
                  <c:v>8.3416814816377496</c:v>
                </c:pt>
                <c:pt idx="4">
                  <c:v>10.1090471663478</c:v>
                </c:pt>
                <c:pt idx="5">
                  <c:v>8.5284838306719095</c:v>
                </c:pt>
              </c:numCache>
            </c:numRef>
          </c:val>
          <c:extLst xmlns:c16r2="http://schemas.microsoft.com/office/drawing/2015/06/chart">
            <c:ext xmlns:c16="http://schemas.microsoft.com/office/drawing/2014/chart" uri="{C3380CC4-5D6E-409C-BE32-E72D297353CC}">
              <c16:uniqueId val="{00000000-CEB8-B749-92B5-C6BCB643865C}"/>
            </c:ext>
          </c:extLst>
        </c:ser>
        <c:ser>
          <c:idx val="1"/>
          <c:order val="1"/>
          <c:tx>
            <c:strRef>
              <c:f>'9. ábra'!$D$7</c:f>
              <c:strCache>
                <c:ptCount val="1"/>
                <c:pt idx="0">
                  <c:v>Élelmiszeripar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'9. ábra'!$E$5:$J$5</c:f>
              <c:strCache>
                <c:ptCount val="6"/>
                <c:pt idx="0">
                  <c:v>Beruházási hitelek</c:v>
                </c:pt>
                <c:pt idx="1">
                  <c:v>Hosszú lej. forgóeszközhitelek</c:v>
                </c:pt>
                <c:pt idx="2">
                  <c:v>Forint folyószámlahitelek</c:v>
                </c:pt>
                <c:pt idx="3">
                  <c:v>Egyéb éven belüli hitelek</c:v>
                </c:pt>
                <c:pt idx="4">
                  <c:v>Egyéb hitelek</c:v>
                </c:pt>
                <c:pt idx="5">
                  <c:v>Forinthitelek összesen</c:v>
                </c:pt>
              </c:strCache>
            </c:strRef>
          </c:cat>
          <c:val>
            <c:numRef>
              <c:f>'9. ábra'!$E$7:$J$7</c:f>
              <c:numCache>
                <c:formatCode>#\ ##0.0</c:formatCode>
                <c:ptCount val="6"/>
                <c:pt idx="0">
                  <c:v>6.7250430553473057</c:v>
                </c:pt>
                <c:pt idx="1">
                  <c:v>7.3031275692891358</c:v>
                </c:pt>
                <c:pt idx="2">
                  <c:v>8.937082106576872</c:v>
                </c:pt>
                <c:pt idx="3">
                  <c:v>7.8689891462486257</c:v>
                </c:pt>
                <c:pt idx="4">
                  <c:v>7.9356289857436098</c:v>
                </c:pt>
                <c:pt idx="5">
                  <c:v>7.7104304707317253</c:v>
                </c:pt>
              </c:numCache>
            </c:numRef>
          </c:val>
          <c:extLst xmlns:c16r2="http://schemas.microsoft.com/office/drawing/2015/06/chart">
            <c:ext xmlns:c16="http://schemas.microsoft.com/office/drawing/2014/chart" uri="{C3380CC4-5D6E-409C-BE32-E72D297353CC}">
              <c16:uniqueId val="{00000001-CEB8-B749-92B5-C6BCB643865C}"/>
            </c:ext>
          </c:extLst>
        </c:ser>
        <c:dLbls>
          <c:dLblPos val="outEnd"/>
          <c:showLegendKey val="0"/>
          <c:showVal val="1"/>
          <c:showCatName val="0"/>
          <c:showSerName val="0"/>
          <c:showPercent val="0"/>
          <c:showBubbleSize val="0"/>
        </c:dLbls>
        <c:gapWidth val="150"/>
        <c:axId val="510849848"/>
        <c:axId val="433571568"/>
      </c:barChart>
      <c:catAx>
        <c:axId val="51084984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433571568"/>
        <c:crosses val="autoZero"/>
        <c:auto val="1"/>
        <c:lblAlgn val="ctr"/>
        <c:lblOffset val="100"/>
        <c:noMultiLvlLbl val="0"/>
      </c:catAx>
      <c:valAx>
        <c:axId val="433571568"/>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5108498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4">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0"/>
          <c:order val="0"/>
          <c:tx>
            <c:strRef>
              <c:f>'10. ábra'!$F$8</c:f>
              <c:strCache>
                <c:ptCount val="1"/>
                <c:pt idx="0">
                  <c:v>Mezőgazdaság</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 ábra'!$G$7:$K$7</c:f>
              <c:strCache>
                <c:ptCount val="5"/>
                <c:pt idx="0">
                  <c:v>Beruházási hitelek</c:v>
                </c:pt>
                <c:pt idx="1">
                  <c:v>Hosszú lej. forgóeszközhitelek</c:v>
                </c:pt>
                <c:pt idx="2">
                  <c:v>Éven belüli hitelek</c:v>
                </c:pt>
                <c:pt idx="3">
                  <c:v>Egyéb hitelek</c:v>
                </c:pt>
                <c:pt idx="4">
                  <c:v>Devizahitelek összesen</c:v>
                </c:pt>
              </c:strCache>
            </c:strRef>
          </c:cat>
          <c:val>
            <c:numRef>
              <c:f>'10. ábra'!$G$8:$K$8</c:f>
              <c:numCache>
                <c:formatCode>#\ ##0.0</c:formatCode>
                <c:ptCount val="5"/>
                <c:pt idx="0">
                  <c:v>5.1051499428845073</c:v>
                </c:pt>
                <c:pt idx="1">
                  <c:v>4.2783312775487268</c:v>
                </c:pt>
                <c:pt idx="2">
                  <c:v>4.0921024949558022</c:v>
                </c:pt>
                <c:pt idx="3">
                  <c:v>5.62623243765466</c:v>
                </c:pt>
                <c:pt idx="4">
                  <c:v>4.7682338429881517</c:v>
                </c:pt>
              </c:numCache>
            </c:numRef>
          </c:val>
          <c:extLst xmlns:c16r2="http://schemas.microsoft.com/office/drawing/2015/06/chart">
            <c:ext xmlns:c16="http://schemas.microsoft.com/office/drawing/2014/chart" uri="{C3380CC4-5D6E-409C-BE32-E72D297353CC}">
              <c16:uniqueId val="{00000000-5583-0C42-8351-33D8CD33DD11}"/>
            </c:ext>
          </c:extLst>
        </c:ser>
        <c:ser>
          <c:idx val="1"/>
          <c:order val="1"/>
          <c:tx>
            <c:strRef>
              <c:f>'10. ábra'!$F$9</c:f>
              <c:strCache>
                <c:ptCount val="1"/>
                <c:pt idx="0">
                  <c:v>Élelmiszeripar</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'10. ábra'!$G$7:$K$7</c:f>
              <c:strCache>
                <c:ptCount val="5"/>
                <c:pt idx="0">
                  <c:v>Beruházási hitelek</c:v>
                </c:pt>
                <c:pt idx="1">
                  <c:v>Hosszú lej. forgóeszközhitelek</c:v>
                </c:pt>
                <c:pt idx="2">
                  <c:v>Éven belüli hitelek</c:v>
                </c:pt>
                <c:pt idx="3">
                  <c:v>Egyéb hitelek</c:v>
                </c:pt>
                <c:pt idx="4">
                  <c:v>Devizahitelek összesen</c:v>
                </c:pt>
              </c:strCache>
            </c:strRef>
          </c:cat>
          <c:val>
            <c:numRef>
              <c:f>'10. ábra'!$G$9:$K$9</c:f>
              <c:numCache>
                <c:formatCode>#\ ##0.0</c:formatCode>
                <c:ptCount val="5"/>
                <c:pt idx="0">
                  <c:v>3.5459788530006771</c:v>
                </c:pt>
                <c:pt idx="1">
                  <c:v>4.5829016617046081</c:v>
                </c:pt>
                <c:pt idx="2">
                  <c:v>4.2330509363656477</c:v>
                </c:pt>
                <c:pt idx="3">
                  <c:v>4.3463438929492337</c:v>
                </c:pt>
                <c:pt idx="4">
                  <c:v>4.1001947565902261</c:v>
                </c:pt>
              </c:numCache>
            </c:numRef>
          </c:val>
          <c:extLst xmlns:c16r2="http://schemas.microsoft.com/office/drawing/2015/06/chart">
            <c:ext xmlns:c16="http://schemas.microsoft.com/office/drawing/2014/chart" uri="{C3380CC4-5D6E-409C-BE32-E72D297353CC}">
              <c16:uniqueId val="{00000001-5583-0C42-8351-33D8CD33DD11}"/>
            </c:ext>
          </c:extLst>
        </c:ser>
        <c:dLbls>
          <c:dLblPos val="outEnd"/>
          <c:showLegendKey val="0"/>
          <c:showVal val="1"/>
          <c:showCatName val="0"/>
          <c:showSerName val="0"/>
          <c:showPercent val="0"/>
          <c:showBubbleSize val="0"/>
        </c:dLbls>
        <c:gapWidth val="150"/>
        <c:axId val="575960464"/>
        <c:axId val="575961248"/>
      </c:barChart>
      <c:catAx>
        <c:axId val="57596046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575961248"/>
        <c:crosses val="autoZero"/>
        <c:auto val="1"/>
        <c:lblAlgn val="ctr"/>
        <c:lblOffset val="100"/>
        <c:noMultiLvlLbl val="0"/>
      </c:catAx>
      <c:valAx>
        <c:axId val="575961248"/>
        <c:scaling>
          <c:orientation val="minMax"/>
        </c:scaling>
        <c:delete val="0"/>
        <c:axPos val="b"/>
        <c:majorGridlines>
          <c:spPr>
            <a:ln w="9525" cap="flat" cmpd="sng" algn="ctr">
              <a:solidFill>
                <a:schemeClr val="tx1">
                  <a:lumMod val="15000"/>
                  <a:lumOff val="85000"/>
                </a:schemeClr>
              </a:solidFill>
              <a:round/>
            </a:ln>
            <a:effectLst/>
          </c:spPr>
        </c:majorGridlines>
        <c:numFmt formatCode="#\ ##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57596046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4">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1512874901889586E-2"/>
          <c:y val="4.3456783364357598E-2"/>
          <c:w val="0.93350457512862506"/>
          <c:h val="0.64233760787983163"/>
        </c:manualLayout>
      </c:layout>
      <c:barChart>
        <c:barDir val="col"/>
        <c:grouping val="stacked"/>
        <c:varyColors val="0"/>
        <c:ser>
          <c:idx val="0"/>
          <c:order val="0"/>
          <c:tx>
            <c:strRef>
              <c:f>'11. ábra'!$A$6</c:f>
              <c:strCache>
                <c:ptCount val="1"/>
                <c:pt idx="0">
                  <c:v>Mg. új beruházási hitelei (milliárd Ft)</c:v>
                </c:pt>
              </c:strCache>
            </c:strRef>
          </c:tx>
          <c:invertIfNegative val="0"/>
          <c:dLbls>
            <c:dLbl>
              <c:idx val="0"/>
              <c:layout>
                <c:manualLayout>
                  <c:x val="0"/>
                  <c:y val="-1.395844505310288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97C-B746-934F-2160EC34D2EB}"/>
                </c:ext>
                <c:ext xmlns:c15="http://schemas.microsoft.com/office/drawing/2012/chart" uri="{CE6537A1-D6FC-4f65-9D91-7224C49458BB}"/>
              </c:extLst>
            </c:dLbl>
            <c:dLbl>
              <c:idx val="1"/>
              <c:layout>
                <c:manualLayout>
                  <c:x val="0"/>
                  <c:y val="2.4117513328058659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97C-B746-934F-2160EC34D2EB}"/>
                </c:ext>
                <c:ext xmlns:c15="http://schemas.microsoft.com/office/drawing/2012/chart" uri="{CE6537A1-D6FC-4f65-9D91-7224C49458BB}"/>
              </c:extLst>
            </c:dLbl>
            <c:spPr>
              <a:noFill/>
              <a:ln>
                <a:noFill/>
              </a:ln>
              <a:effectLst/>
            </c:spPr>
            <c:txPr>
              <a:bodyPr rot="0" vert="horz"/>
              <a:lstStyle/>
              <a:p>
                <a:pPr>
                  <a:defRPr sz="650"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 ábra'!$B$5:$I$5</c:f>
              <c:strCache>
                <c:ptCount val="8"/>
                <c:pt idx="0">
                  <c:v>2023. I.</c:v>
                </c:pt>
                <c:pt idx="1">
                  <c:v>2023. II.</c:v>
                </c:pt>
                <c:pt idx="2">
                  <c:v>2023. III.</c:v>
                </c:pt>
                <c:pt idx="3">
                  <c:v>2023. IV.</c:v>
                </c:pt>
                <c:pt idx="4">
                  <c:v>2024. I</c:v>
                </c:pt>
                <c:pt idx="5">
                  <c:v>2024. II.</c:v>
                </c:pt>
                <c:pt idx="6">
                  <c:v>2024. III.</c:v>
                </c:pt>
                <c:pt idx="7">
                  <c:v>2024. IV.</c:v>
                </c:pt>
              </c:strCache>
            </c:strRef>
          </c:cat>
          <c:val>
            <c:numRef>
              <c:f>'11. ábra'!$B$6:$I$6</c:f>
              <c:numCache>
                <c:formatCode>#\ ##0.0</c:formatCode>
                <c:ptCount val="8"/>
                <c:pt idx="0">
                  <c:v>15.437057311</c:v>
                </c:pt>
                <c:pt idx="1">
                  <c:v>23.297594671999999</c:v>
                </c:pt>
                <c:pt idx="2">
                  <c:v>20.432910532000001</c:v>
                </c:pt>
                <c:pt idx="3">
                  <c:v>34.668685199000002</c:v>
                </c:pt>
                <c:pt idx="4">
                  <c:v>16.246298825</c:v>
                </c:pt>
                <c:pt idx="5">
                  <c:v>15.277175031000001</c:v>
                </c:pt>
                <c:pt idx="6">
                  <c:v>16.206536644</c:v>
                </c:pt>
                <c:pt idx="7">
                  <c:v>28.606675964999997</c:v>
                </c:pt>
              </c:numCache>
            </c:numRef>
          </c:val>
          <c:extLst xmlns:c16r2="http://schemas.microsoft.com/office/drawing/2015/06/chart">
            <c:ext xmlns:c16="http://schemas.microsoft.com/office/drawing/2014/chart" uri="{C3380CC4-5D6E-409C-BE32-E72D297353CC}">
              <c16:uniqueId val="{00000000-0538-4B95-9FC1-6903BF58646B}"/>
            </c:ext>
          </c:extLst>
        </c:ser>
        <c:ser>
          <c:idx val="1"/>
          <c:order val="1"/>
          <c:tx>
            <c:strRef>
              <c:f>'11. ábra'!$A$7</c:f>
              <c:strCache>
                <c:ptCount val="1"/>
                <c:pt idx="0">
                  <c:v>Mg. új hosszú lejáratú forgóeszköz hitelei (milliárd Ft)</c:v>
                </c:pt>
              </c:strCache>
            </c:strRef>
          </c:tx>
          <c:invertIfNegative val="0"/>
          <c:dLbls>
            <c:dLbl>
              <c:idx val="0"/>
              <c:layout>
                <c:manualLayout>
                  <c:x val="-2.7936181863389608E-17"/>
                  <c:y val="-1.8652613831655145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97C-B746-934F-2160EC34D2EB}"/>
                </c:ext>
                <c:ext xmlns:c15="http://schemas.microsoft.com/office/drawing/2012/chart" uri="{CE6537A1-D6FC-4f65-9D91-7224C49458BB}"/>
              </c:extLst>
            </c:dLbl>
            <c:dLbl>
              <c:idx val="4"/>
              <c:layout>
                <c:manualLayout>
                  <c:x val="0"/>
                  <c:y val="-1.4164696935345875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97C-B746-934F-2160EC34D2EB}"/>
                </c:ext>
                <c:ext xmlns:c15="http://schemas.microsoft.com/office/drawing/2012/chart" uri="{CE6537A1-D6FC-4f65-9D91-7224C49458BB}"/>
              </c:extLst>
            </c:dLbl>
            <c:spPr>
              <a:noFill/>
              <a:ln>
                <a:noFill/>
              </a:ln>
              <a:effectLst/>
            </c:spPr>
            <c:txPr>
              <a:bodyPr rot="0" vert="horz"/>
              <a:lstStyle/>
              <a:p>
                <a:pPr>
                  <a:defRPr sz="650"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 ábra'!$B$5:$I$5</c:f>
              <c:strCache>
                <c:ptCount val="8"/>
                <c:pt idx="0">
                  <c:v>2023. I.</c:v>
                </c:pt>
                <c:pt idx="1">
                  <c:v>2023. II.</c:v>
                </c:pt>
                <c:pt idx="2">
                  <c:v>2023. III.</c:v>
                </c:pt>
                <c:pt idx="3">
                  <c:v>2023. IV.</c:v>
                </c:pt>
                <c:pt idx="4">
                  <c:v>2024. I</c:v>
                </c:pt>
                <c:pt idx="5">
                  <c:v>2024. II.</c:v>
                </c:pt>
                <c:pt idx="6">
                  <c:v>2024. III.</c:v>
                </c:pt>
                <c:pt idx="7">
                  <c:v>2024. IV.</c:v>
                </c:pt>
              </c:strCache>
            </c:strRef>
          </c:cat>
          <c:val>
            <c:numRef>
              <c:f>'11. ábra'!$B$7:$I$7</c:f>
              <c:numCache>
                <c:formatCode>#\ ##0.0</c:formatCode>
                <c:ptCount val="8"/>
                <c:pt idx="0">
                  <c:v>7.434346927</c:v>
                </c:pt>
                <c:pt idx="1">
                  <c:v>38.331749633999998</c:v>
                </c:pt>
                <c:pt idx="2">
                  <c:v>18.941742966000003</c:v>
                </c:pt>
                <c:pt idx="3">
                  <c:v>12.68977632</c:v>
                </c:pt>
                <c:pt idx="4">
                  <c:v>7.6020786190000003</c:v>
                </c:pt>
                <c:pt idx="5">
                  <c:v>13.989408730999999</c:v>
                </c:pt>
                <c:pt idx="6">
                  <c:v>9.776249399000001</c:v>
                </c:pt>
                <c:pt idx="7">
                  <c:v>17.884210342999999</c:v>
                </c:pt>
              </c:numCache>
            </c:numRef>
          </c:val>
          <c:extLst xmlns:c16r2="http://schemas.microsoft.com/office/drawing/2015/06/chart">
            <c:ext xmlns:c16="http://schemas.microsoft.com/office/drawing/2014/chart" uri="{C3380CC4-5D6E-409C-BE32-E72D297353CC}">
              <c16:uniqueId val="{00000001-0538-4B95-9FC1-6903BF58646B}"/>
            </c:ext>
          </c:extLst>
        </c:ser>
        <c:ser>
          <c:idx val="2"/>
          <c:order val="2"/>
          <c:tx>
            <c:strRef>
              <c:f>'11. ábra'!$A$8</c:f>
              <c:strCache>
                <c:ptCount val="1"/>
                <c:pt idx="0">
                  <c:v>Mg. új forint folyószámla-, és egyéb éven belüli hitelei (milliárd Ft)</c:v>
                </c:pt>
              </c:strCache>
            </c:strRef>
          </c:tx>
          <c:invertIfNegative val="0"/>
          <c:dLbls>
            <c:dLbl>
              <c:idx val="0"/>
              <c:layout>
                <c:manualLayout>
                  <c:x val="0"/>
                  <c:y val="1.344762272219601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97C-B746-934F-2160EC34D2EB}"/>
                </c:ext>
                <c:ext xmlns:c15="http://schemas.microsoft.com/office/drawing/2012/chart" uri="{CE6537A1-D6FC-4f65-9D91-7224C49458BB}"/>
              </c:extLst>
            </c:dLbl>
            <c:dLbl>
              <c:idx val="1"/>
              <c:layout>
                <c:manualLayout>
                  <c:x val="3.0476186819505145E-3"/>
                  <c:y val="-1.669833847825810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97C-B746-934F-2160EC34D2EB}"/>
                </c:ext>
                <c:ext xmlns:c15="http://schemas.microsoft.com/office/drawing/2012/chart" uri="{CE6537A1-D6FC-4f65-9D91-7224C49458BB}"/>
              </c:extLst>
            </c:dLbl>
            <c:dLbl>
              <c:idx val="2"/>
              <c:layout>
                <c:manualLayout>
                  <c:x val="0"/>
                  <c:y val="4.565455197904109E-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97C-B746-934F-2160EC34D2EB}"/>
                </c:ext>
                <c:ext xmlns:c15="http://schemas.microsoft.com/office/drawing/2012/chart" uri="{CE6537A1-D6FC-4f65-9D91-7224C49458BB}"/>
              </c:extLst>
            </c:dLbl>
            <c:dLbl>
              <c:idx val="3"/>
              <c:layout>
                <c:manualLayout>
                  <c:x val="0"/>
                  <c:y val="9.2866073054106539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97C-B746-934F-2160EC34D2EB}"/>
                </c:ext>
                <c:ext xmlns:c15="http://schemas.microsoft.com/office/drawing/2012/chart" uri="{CE6537A1-D6FC-4f65-9D91-7224C49458BB}"/>
              </c:extLst>
            </c:dLbl>
            <c:dLbl>
              <c:idx val="4"/>
              <c:layout>
                <c:manualLayout>
                  <c:x val="-2.2348945490711686E-16"/>
                  <c:y val="3.2603305054597098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97C-B746-934F-2160EC34D2EB}"/>
                </c:ext>
                <c:ext xmlns:c15="http://schemas.microsoft.com/office/drawing/2012/chart" uri="{CE6537A1-D6FC-4f65-9D91-7224C49458BB}"/>
              </c:extLst>
            </c:dLbl>
            <c:dLbl>
              <c:idx val="22"/>
              <c:layout>
                <c:manualLayout>
                  <c:x val="-1.2026646448609235E-16"/>
                  <c:y val="1.051729522832393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538-4B95-9FC1-6903BF58646B}"/>
                </c:ext>
                <c:ext xmlns:c15="http://schemas.microsoft.com/office/drawing/2012/chart" uri="{CE6537A1-D6FC-4f65-9D91-7224C49458BB}"/>
              </c:extLst>
            </c:dLbl>
            <c:spPr>
              <a:noFill/>
              <a:ln>
                <a:noFill/>
              </a:ln>
              <a:effectLst/>
            </c:spPr>
            <c:txPr>
              <a:bodyPr rot="0" vert="horz"/>
              <a:lstStyle/>
              <a:p>
                <a:pPr>
                  <a:defRPr sz="650"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 ábra'!$B$5:$I$5</c:f>
              <c:strCache>
                <c:ptCount val="8"/>
                <c:pt idx="0">
                  <c:v>2023. I.</c:v>
                </c:pt>
                <c:pt idx="1">
                  <c:v>2023. II.</c:v>
                </c:pt>
                <c:pt idx="2">
                  <c:v>2023. III.</c:v>
                </c:pt>
                <c:pt idx="3">
                  <c:v>2023. IV.</c:v>
                </c:pt>
                <c:pt idx="4">
                  <c:v>2024. I</c:v>
                </c:pt>
                <c:pt idx="5">
                  <c:v>2024. II.</c:v>
                </c:pt>
                <c:pt idx="6">
                  <c:v>2024. III.</c:v>
                </c:pt>
                <c:pt idx="7">
                  <c:v>2024. IV.</c:v>
                </c:pt>
              </c:strCache>
            </c:strRef>
          </c:cat>
          <c:val>
            <c:numRef>
              <c:f>'11. ábra'!$B$8:$I$8</c:f>
              <c:numCache>
                <c:formatCode>#\ ##0.0</c:formatCode>
                <c:ptCount val="8"/>
                <c:pt idx="0">
                  <c:v>23.749780277999999</c:v>
                </c:pt>
                <c:pt idx="1">
                  <c:v>38.685391809999999</c:v>
                </c:pt>
                <c:pt idx="2">
                  <c:v>34.793012415999996</c:v>
                </c:pt>
                <c:pt idx="3">
                  <c:v>27.790078130999998</c:v>
                </c:pt>
                <c:pt idx="4">
                  <c:v>27.010223540999998</c:v>
                </c:pt>
                <c:pt idx="5">
                  <c:v>30.583304453</c:v>
                </c:pt>
                <c:pt idx="6">
                  <c:v>27.876157630000002</c:v>
                </c:pt>
                <c:pt idx="7">
                  <c:v>32.190438802999999</c:v>
                </c:pt>
              </c:numCache>
            </c:numRef>
          </c:val>
          <c:extLst xmlns:c16r2="http://schemas.microsoft.com/office/drawing/2015/06/chart">
            <c:ext xmlns:c16="http://schemas.microsoft.com/office/drawing/2014/chart" uri="{C3380CC4-5D6E-409C-BE32-E72D297353CC}">
              <c16:uniqueId val="{00000003-0538-4B95-9FC1-6903BF58646B}"/>
            </c:ext>
          </c:extLst>
        </c:ser>
        <c:ser>
          <c:idx val="3"/>
          <c:order val="3"/>
          <c:tx>
            <c:strRef>
              <c:f>'11. ábra'!$A$9</c:f>
              <c:strCache>
                <c:ptCount val="1"/>
                <c:pt idx="0">
                  <c:v>Mg. új egyéb hitelei (milliárd Ft)</c:v>
                </c:pt>
              </c:strCache>
            </c:strRef>
          </c:tx>
          <c:invertIfNegative val="0"/>
          <c:dLbls>
            <c:dLbl>
              <c:idx val="0"/>
              <c:layout>
                <c:manualLayout>
                  <c:x val="-1.6400161883802658E-3"/>
                  <c:y val="9.720201487928631E-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97C-B746-934F-2160EC34D2EB}"/>
                </c:ext>
                <c:ext xmlns:c15="http://schemas.microsoft.com/office/drawing/2012/chart" uri="{CE6537A1-D6FC-4f65-9D91-7224C49458BB}"/>
              </c:extLst>
            </c:dLbl>
            <c:dLbl>
              <c:idx val="2"/>
              <c:layout>
                <c:manualLayout>
                  <c:x val="0"/>
                  <c:y val="-4.571596231390423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97C-B746-934F-2160EC34D2EB}"/>
                </c:ext>
                <c:ext xmlns:c15="http://schemas.microsoft.com/office/drawing/2012/chart" uri="{CE6537A1-D6FC-4f65-9D91-7224C49458BB}"/>
              </c:extLst>
            </c:dLbl>
            <c:dLbl>
              <c:idx val="3"/>
              <c:layout>
                <c:manualLayout>
                  <c:x val="0"/>
                  <c:y val="-3.81237219749439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97C-B746-934F-2160EC34D2EB}"/>
                </c:ext>
                <c:ext xmlns:c15="http://schemas.microsoft.com/office/drawing/2012/chart" uri="{CE6537A1-D6FC-4f65-9D91-7224C49458BB}"/>
              </c:extLst>
            </c:dLbl>
            <c:dLbl>
              <c:idx val="4"/>
              <c:layout>
                <c:manualLayout>
                  <c:x val="0"/>
                  <c:y val="-4.675869739375158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97C-B746-934F-2160EC34D2EB}"/>
                </c:ext>
                <c:ext xmlns:c15="http://schemas.microsoft.com/office/drawing/2012/chart" uri="{CE6537A1-D6FC-4f65-9D91-7224C49458BB}"/>
              </c:extLst>
            </c:dLbl>
            <c:dLbl>
              <c:idx val="5"/>
              <c:layout>
                <c:manualLayout>
                  <c:x val="-1.5238093409754806E-3"/>
                  <c:y val="-4.259822415114627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97C-B746-934F-2160EC34D2EB}"/>
                </c:ext>
                <c:ext xmlns:c15="http://schemas.microsoft.com/office/drawing/2012/chart" uri="{CE6537A1-D6FC-4f65-9D91-7224C49458BB}"/>
              </c:extLst>
            </c:dLbl>
            <c:spPr>
              <a:noFill/>
              <a:ln>
                <a:noFill/>
              </a:ln>
              <a:effectLst/>
            </c:spPr>
            <c:txPr>
              <a:bodyPr rot="0" vert="horz"/>
              <a:lstStyle/>
              <a:p>
                <a:pPr>
                  <a:defRPr sz="650"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'11. ábra'!$B$5:$I$5</c:f>
              <c:strCache>
                <c:ptCount val="8"/>
                <c:pt idx="0">
                  <c:v>2023. I.</c:v>
                </c:pt>
                <c:pt idx="1">
                  <c:v>2023. II.</c:v>
                </c:pt>
                <c:pt idx="2">
                  <c:v>2023. III.</c:v>
                </c:pt>
                <c:pt idx="3">
                  <c:v>2023. IV.</c:v>
                </c:pt>
                <c:pt idx="4">
                  <c:v>2024. I</c:v>
                </c:pt>
                <c:pt idx="5">
                  <c:v>2024. II.</c:v>
                </c:pt>
                <c:pt idx="6">
                  <c:v>2024. III.</c:v>
                </c:pt>
                <c:pt idx="7">
                  <c:v>2024. IV.</c:v>
                </c:pt>
              </c:strCache>
            </c:strRef>
          </c:cat>
          <c:val>
            <c:numRef>
              <c:f>'11. ábra'!$B$9:$I$9</c:f>
              <c:numCache>
                <c:formatCode>#\ ##0.0</c:formatCode>
                <c:ptCount val="8"/>
                <c:pt idx="0">
                  <c:v>4.9336640440000004</c:v>
                </c:pt>
                <c:pt idx="1">
                  <c:v>12.431986946999999</c:v>
                </c:pt>
                <c:pt idx="2">
                  <c:v>4.2957151860000007</c:v>
                </c:pt>
                <c:pt idx="3">
                  <c:v>4.1889703110000003</c:v>
                </c:pt>
                <c:pt idx="4">
                  <c:v>5.3778976510000005</c:v>
                </c:pt>
                <c:pt idx="5">
                  <c:v>8.4760896240000001</c:v>
                </c:pt>
                <c:pt idx="6">
                  <c:v>1.999114603</c:v>
                </c:pt>
                <c:pt idx="7">
                  <c:v>6.5608916050000001</c:v>
                </c:pt>
              </c:numCache>
            </c:numRef>
          </c:val>
          <c:extLst xmlns:c16r2="http://schemas.microsoft.com/office/drawing/2015/06/chart">
            <c:ext xmlns:c16="http://schemas.microsoft.com/office/drawing/2014/chart" uri="{C3380CC4-5D6E-409C-BE32-E72D297353CC}">
              <c16:uniqueId val="{00000004-0538-4B95-9FC1-6903BF58646B}"/>
            </c:ext>
          </c:extLst>
        </c:ser>
        <c:dLbls>
          <c:dLblPos val="inBase"/>
          <c:showLegendKey val="0"/>
          <c:showVal val="1"/>
          <c:showCatName val="0"/>
          <c:showSerName val="0"/>
          <c:showPercent val="0"/>
          <c:showBubbleSize val="0"/>
        </c:dLbls>
        <c:gapWidth val="150"/>
        <c:overlap val="100"/>
        <c:axId val="575960856"/>
        <c:axId val="575958504"/>
      </c:barChart>
      <c:catAx>
        <c:axId val="575960856"/>
        <c:scaling>
          <c:orientation val="minMax"/>
        </c:scaling>
        <c:delete val="0"/>
        <c:axPos val="b"/>
        <c:numFmt formatCode="General" sourceLinked="0"/>
        <c:majorTickMark val="out"/>
        <c:minorTickMark val="none"/>
        <c:tickLblPos val="nextTo"/>
        <c:crossAx val="575958504"/>
        <c:crosses val="autoZero"/>
        <c:auto val="1"/>
        <c:lblAlgn val="ctr"/>
        <c:lblOffset val="100"/>
        <c:noMultiLvlLbl val="0"/>
      </c:catAx>
      <c:valAx>
        <c:axId val="575958504"/>
        <c:scaling>
          <c:orientation val="minMax"/>
        </c:scaling>
        <c:delete val="0"/>
        <c:axPos val="l"/>
        <c:majorGridlines/>
        <c:numFmt formatCode="#\ ##0.0" sourceLinked="1"/>
        <c:majorTickMark val="out"/>
        <c:minorTickMark val="none"/>
        <c:tickLblPos val="nextTo"/>
        <c:crossAx val="575960856"/>
        <c:crosses val="autoZero"/>
        <c:crossBetween val="between"/>
      </c:valAx>
    </c:plotArea>
    <c:legend>
      <c:legendPos val="b"/>
      <c:layout>
        <c:manualLayout>
          <c:xMode val="edge"/>
          <c:yMode val="edge"/>
          <c:x val="1.5013549557996718E-2"/>
          <c:y val="0.84451679292049497"/>
          <c:w val="0.97358138081183698"/>
          <c:h val="0.13177950706258273"/>
        </c:manualLayout>
      </c:layout>
      <c:overlay val="0"/>
    </c:legend>
    <c:plotVisOnly val="1"/>
    <c:dispBlanksAs val="gap"/>
    <c:showDLblsOverMax val="0"/>
  </c:chart>
  <c:spPr>
    <a:ln>
      <a:noFill/>
    </a:ln>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2">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995698966228506E-2"/>
          <c:y val="4.3603408810484953E-2"/>
          <c:w val="0.9323082282279842"/>
          <c:h val="0.62203276827003295"/>
        </c:manualLayout>
      </c:layout>
      <c:barChart>
        <c:barDir val="col"/>
        <c:grouping val="stacked"/>
        <c:varyColors val="0"/>
        <c:ser>
          <c:idx val="0"/>
          <c:order val="0"/>
          <c:tx>
            <c:strRef>
              <c:f>'12. ábra'!$A$4</c:f>
              <c:strCache>
                <c:ptCount val="1"/>
                <c:pt idx="0">
                  <c:v>Élip új beruházási hitelei (milliárd Ft)</c:v>
                </c:pt>
              </c:strCache>
            </c:strRef>
          </c:tx>
          <c:invertIfNegative val="0"/>
          <c:dLbls>
            <c:spPr>
              <a:noFill/>
              <a:ln>
                <a:noFill/>
              </a:ln>
              <a:effectLst/>
            </c:spPr>
            <c:txPr>
              <a:bodyPr rot="0" vert="horz"/>
              <a:lstStyle/>
              <a:p>
                <a:pPr>
                  <a:defRPr sz="650" b="1"/>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ábra'!$B$3:$I$3</c:f>
              <c:strCache>
                <c:ptCount val="8"/>
                <c:pt idx="0">
                  <c:v>2023. I.</c:v>
                </c:pt>
                <c:pt idx="1">
                  <c:v>2023. II.</c:v>
                </c:pt>
                <c:pt idx="2">
                  <c:v>2023. III. </c:v>
                </c:pt>
                <c:pt idx="3">
                  <c:v>2023. IV.</c:v>
                </c:pt>
                <c:pt idx="4">
                  <c:v>2024. I</c:v>
                </c:pt>
                <c:pt idx="5">
                  <c:v>2024. II.</c:v>
                </c:pt>
                <c:pt idx="6">
                  <c:v>2024. III.</c:v>
                </c:pt>
                <c:pt idx="7">
                  <c:v>2024. IV.</c:v>
                </c:pt>
              </c:strCache>
            </c:strRef>
          </c:cat>
          <c:val>
            <c:numRef>
              <c:f>'12. ábra'!$B$4:$I$4</c:f>
              <c:numCache>
                <c:formatCode>#\ ##0.0</c:formatCode>
                <c:ptCount val="8"/>
                <c:pt idx="0">
                  <c:v>9.8425686789999993</c:v>
                </c:pt>
                <c:pt idx="1">
                  <c:v>27.153159241000001</c:v>
                </c:pt>
                <c:pt idx="2">
                  <c:v>14.115240418999999</c:v>
                </c:pt>
                <c:pt idx="3">
                  <c:v>13.420174457</c:v>
                </c:pt>
                <c:pt idx="4">
                  <c:v>19.810376046000002</c:v>
                </c:pt>
                <c:pt idx="5">
                  <c:v>5.7166316520000002</c:v>
                </c:pt>
                <c:pt idx="6">
                  <c:v>14.847378151000001</c:v>
                </c:pt>
                <c:pt idx="7">
                  <c:v>14.357921685999999</c:v>
                </c:pt>
              </c:numCache>
            </c:numRef>
          </c:val>
          <c:extLst xmlns:c16r2="http://schemas.microsoft.com/office/drawing/2015/06/chart">
            <c:ext xmlns:c16="http://schemas.microsoft.com/office/drawing/2014/chart" uri="{C3380CC4-5D6E-409C-BE32-E72D297353CC}">
              <c16:uniqueId val="{00000000-DFE3-4B54-B2B3-167DD1AA022E}"/>
            </c:ext>
          </c:extLst>
        </c:ser>
        <c:ser>
          <c:idx val="1"/>
          <c:order val="1"/>
          <c:tx>
            <c:strRef>
              <c:f>'12. ábra'!$A$5</c:f>
              <c:strCache>
                <c:ptCount val="1"/>
                <c:pt idx="0">
                  <c:v>Élip új hosszú lejáratú forgóeszköz hitelei (milliárd Ft)</c:v>
                </c:pt>
              </c:strCache>
            </c:strRef>
          </c:tx>
          <c:invertIfNegative val="0"/>
          <c:dLbls>
            <c:spPr>
              <a:noFill/>
              <a:ln>
                <a:noFill/>
              </a:ln>
              <a:effectLst/>
            </c:spPr>
            <c:txPr>
              <a:bodyPr rot="0" vert="horz"/>
              <a:lstStyle/>
              <a:p>
                <a:pPr>
                  <a:defRPr sz="650" b="1"/>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ábra'!$B$3:$I$3</c:f>
              <c:strCache>
                <c:ptCount val="8"/>
                <c:pt idx="0">
                  <c:v>2023. I.</c:v>
                </c:pt>
                <c:pt idx="1">
                  <c:v>2023. II.</c:v>
                </c:pt>
                <c:pt idx="2">
                  <c:v>2023. III. </c:v>
                </c:pt>
                <c:pt idx="3">
                  <c:v>2023. IV.</c:v>
                </c:pt>
                <c:pt idx="4">
                  <c:v>2024. I</c:v>
                </c:pt>
                <c:pt idx="5">
                  <c:v>2024. II.</c:v>
                </c:pt>
                <c:pt idx="6">
                  <c:v>2024. III.</c:v>
                </c:pt>
                <c:pt idx="7">
                  <c:v>2024. IV.</c:v>
                </c:pt>
              </c:strCache>
            </c:strRef>
          </c:cat>
          <c:val>
            <c:numRef>
              <c:f>'12. ábra'!$B$5:$I$5</c:f>
              <c:numCache>
                <c:formatCode>#\ ##0.0</c:formatCode>
                <c:ptCount val="8"/>
                <c:pt idx="0">
                  <c:v>11.745728394</c:v>
                </c:pt>
                <c:pt idx="1">
                  <c:v>59.386500511000001</c:v>
                </c:pt>
                <c:pt idx="2">
                  <c:v>20.869988265</c:v>
                </c:pt>
                <c:pt idx="3">
                  <c:v>12.937471728</c:v>
                </c:pt>
                <c:pt idx="4">
                  <c:v>12.593507099</c:v>
                </c:pt>
                <c:pt idx="5">
                  <c:v>12.41769298</c:v>
                </c:pt>
                <c:pt idx="6">
                  <c:v>9.729844902</c:v>
                </c:pt>
                <c:pt idx="7">
                  <c:v>2.1119375810000003</c:v>
                </c:pt>
              </c:numCache>
            </c:numRef>
          </c:val>
          <c:extLst xmlns:c16r2="http://schemas.microsoft.com/office/drawing/2015/06/chart">
            <c:ext xmlns:c16="http://schemas.microsoft.com/office/drawing/2014/chart" uri="{C3380CC4-5D6E-409C-BE32-E72D297353CC}">
              <c16:uniqueId val="{00000001-DFE3-4B54-B2B3-167DD1AA022E}"/>
            </c:ext>
          </c:extLst>
        </c:ser>
        <c:ser>
          <c:idx val="2"/>
          <c:order val="2"/>
          <c:tx>
            <c:strRef>
              <c:f>'12. ábra'!$A$6</c:f>
              <c:strCache>
                <c:ptCount val="1"/>
                <c:pt idx="0">
                  <c:v>Élip új forint folyószámla-, és egyéb éven belüli hitelei (milliárd Ft)</c:v>
                </c:pt>
              </c:strCache>
            </c:strRef>
          </c:tx>
          <c:invertIfNegative val="0"/>
          <c:dLbls>
            <c:spPr>
              <a:noFill/>
              <a:ln>
                <a:noFill/>
              </a:ln>
              <a:effectLst/>
            </c:spPr>
            <c:txPr>
              <a:bodyPr rot="0" vert="horz"/>
              <a:lstStyle/>
              <a:p>
                <a:pPr>
                  <a:defRPr sz="650" b="1"/>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ábra'!$B$3:$I$3</c:f>
              <c:strCache>
                <c:ptCount val="8"/>
                <c:pt idx="0">
                  <c:v>2023. I.</c:v>
                </c:pt>
                <c:pt idx="1">
                  <c:v>2023. II.</c:v>
                </c:pt>
                <c:pt idx="2">
                  <c:v>2023. III. </c:v>
                </c:pt>
                <c:pt idx="3">
                  <c:v>2023. IV.</c:v>
                </c:pt>
                <c:pt idx="4">
                  <c:v>2024. I</c:v>
                </c:pt>
                <c:pt idx="5">
                  <c:v>2024. II.</c:v>
                </c:pt>
                <c:pt idx="6">
                  <c:v>2024. III.</c:v>
                </c:pt>
                <c:pt idx="7">
                  <c:v>2024. IV.</c:v>
                </c:pt>
              </c:strCache>
            </c:strRef>
          </c:cat>
          <c:val>
            <c:numRef>
              <c:f>'12. ábra'!$B$6:$I$6</c:f>
              <c:numCache>
                <c:formatCode>#\ ##0.0</c:formatCode>
                <c:ptCount val="8"/>
                <c:pt idx="0">
                  <c:v>32.861185714000001</c:v>
                </c:pt>
                <c:pt idx="1">
                  <c:v>37.753004472000001</c:v>
                </c:pt>
                <c:pt idx="2">
                  <c:v>63.236351331999998</c:v>
                </c:pt>
                <c:pt idx="3">
                  <c:v>46.856010649000005</c:v>
                </c:pt>
                <c:pt idx="4">
                  <c:v>34.294267074000004</c:v>
                </c:pt>
                <c:pt idx="5">
                  <c:v>21.748366979</c:v>
                </c:pt>
                <c:pt idx="6">
                  <c:v>64.001425123000004</c:v>
                </c:pt>
                <c:pt idx="7">
                  <c:v>52.972601299000004</c:v>
                </c:pt>
              </c:numCache>
            </c:numRef>
          </c:val>
          <c:extLst xmlns:c16r2="http://schemas.microsoft.com/office/drawing/2015/06/chart">
            <c:ext xmlns:c16="http://schemas.microsoft.com/office/drawing/2014/chart" uri="{C3380CC4-5D6E-409C-BE32-E72D297353CC}">
              <c16:uniqueId val="{00000002-DFE3-4B54-B2B3-167DD1AA022E}"/>
            </c:ext>
          </c:extLst>
        </c:ser>
        <c:ser>
          <c:idx val="3"/>
          <c:order val="3"/>
          <c:tx>
            <c:strRef>
              <c:f>'12. ábra'!$A$7</c:f>
              <c:strCache>
                <c:ptCount val="1"/>
                <c:pt idx="0">
                  <c:v>Élip új egyéb hitelei (milliárd Ft)</c:v>
                </c:pt>
              </c:strCache>
            </c:strRef>
          </c:tx>
          <c:invertIfNegative val="0"/>
          <c:dLbls>
            <c:dLbl>
              <c:idx val="0"/>
              <c:layout>
                <c:manualLayout>
                  <c:x val="0"/>
                  <c:y val="-3.566121286187317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DAF8-4F41-889D-0DFCF28FFCAC}"/>
                </c:ext>
                <c:ext xmlns:c15="http://schemas.microsoft.com/office/drawing/2012/chart" uri="{CE6537A1-D6FC-4f65-9D91-7224C49458BB}"/>
              </c:extLst>
            </c:dLbl>
            <c:dLbl>
              <c:idx val="4"/>
              <c:layout>
                <c:manualLayout>
                  <c:x val="0"/>
                  <c:y val="-2.377414190791544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DAF8-4F41-889D-0DFCF28FFCAC}"/>
                </c:ext>
                <c:ext xmlns:c15="http://schemas.microsoft.com/office/drawing/2012/chart" uri="{CE6537A1-D6FC-4f65-9D91-7224C49458BB}"/>
              </c:extLst>
            </c:dLbl>
            <c:spPr>
              <a:noFill/>
              <a:ln>
                <a:noFill/>
              </a:ln>
              <a:effectLst/>
            </c:spPr>
            <c:txPr>
              <a:bodyPr rot="0" vert="horz"/>
              <a:lstStyle/>
              <a:p>
                <a:pPr>
                  <a:defRPr sz="650" b="1"/>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'12. ábra'!$B$3:$I$3</c:f>
              <c:strCache>
                <c:ptCount val="8"/>
                <c:pt idx="0">
                  <c:v>2023. I.</c:v>
                </c:pt>
                <c:pt idx="1">
                  <c:v>2023. II.</c:v>
                </c:pt>
                <c:pt idx="2">
                  <c:v>2023. III. </c:v>
                </c:pt>
                <c:pt idx="3">
                  <c:v>2023. IV.</c:v>
                </c:pt>
                <c:pt idx="4">
                  <c:v>2024. I</c:v>
                </c:pt>
                <c:pt idx="5">
                  <c:v>2024. II.</c:v>
                </c:pt>
                <c:pt idx="6">
                  <c:v>2024. III.</c:v>
                </c:pt>
                <c:pt idx="7">
                  <c:v>2024. IV.</c:v>
                </c:pt>
              </c:strCache>
            </c:strRef>
          </c:cat>
          <c:val>
            <c:numRef>
              <c:f>'12. ábra'!$B$7:$I$7</c:f>
              <c:numCache>
                <c:formatCode>#\ ##0.0</c:formatCode>
                <c:ptCount val="8"/>
                <c:pt idx="0">
                  <c:v>0.96999516900000005</c:v>
                </c:pt>
                <c:pt idx="1">
                  <c:v>12.032030019</c:v>
                </c:pt>
                <c:pt idx="2">
                  <c:v>8.8375875529999988</c:v>
                </c:pt>
                <c:pt idx="3">
                  <c:v>15.183056731000001</c:v>
                </c:pt>
                <c:pt idx="4">
                  <c:v>0.12313077900000001</c:v>
                </c:pt>
                <c:pt idx="5">
                  <c:v>0.411440321</c:v>
                </c:pt>
                <c:pt idx="6">
                  <c:v>2.281745758</c:v>
                </c:pt>
                <c:pt idx="7">
                  <c:v>3.4204229099999996</c:v>
                </c:pt>
              </c:numCache>
            </c:numRef>
          </c:val>
          <c:extLst xmlns:c16r2="http://schemas.microsoft.com/office/drawing/2015/06/chart">
            <c:ext xmlns:c16="http://schemas.microsoft.com/office/drawing/2014/chart" uri="{C3380CC4-5D6E-409C-BE32-E72D297353CC}">
              <c16:uniqueId val="{00000003-DFE3-4B54-B2B3-167DD1AA022E}"/>
            </c:ext>
          </c:extLst>
        </c:ser>
        <c:dLbls>
          <c:dLblPos val="ctr"/>
          <c:showLegendKey val="0"/>
          <c:showVal val="1"/>
          <c:showCatName val="0"/>
          <c:showSerName val="0"/>
          <c:showPercent val="0"/>
          <c:showBubbleSize val="0"/>
        </c:dLbls>
        <c:gapWidth val="150"/>
        <c:overlap val="100"/>
        <c:axId val="575960072"/>
        <c:axId val="575954976"/>
      </c:barChart>
      <c:catAx>
        <c:axId val="575960072"/>
        <c:scaling>
          <c:orientation val="minMax"/>
        </c:scaling>
        <c:delete val="0"/>
        <c:axPos val="b"/>
        <c:numFmt formatCode="General" sourceLinked="0"/>
        <c:majorTickMark val="out"/>
        <c:minorTickMark val="none"/>
        <c:tickLblPos val="nextTo"/>
        <c:crossAx val="575954976"/>
        <c:crosses val="autoZero"/>
        <c:auto val="1"/>
        <c:lblAlgn val="ctr"/>
        <c:lblOffset val="100"/>
        <c:noMultiLvlLbl val="0"/>
      </c:catAx>
      <c:valAx>
        <c:axId val="575954976"/>
        <c:scaling>
          <c:orientation val="minMax"/>
        </c:scaling>
        <c:delete val="0"/>
        <c:axPos val="l"/>
        <c:majorGridlines/>
        <c:numFmt formatCode="#\ ##0.0" sourceLinked="1"/>
        <c:majorTickMark val="out"/>
        <c:minorTickMark val="none"/>
        <c:tickLblPos val="nextTo"/>
        <c:txPr>
          <a:bodyPr/>
          <a:lstStyle/>
          <a:p>
            <a:pPr>
              <a:defRPr>
                <a:solidFill>
                  <a:sysClr val="windowText" lastClr="000000"/>
                </a:solidFill>
              </a:defRPr>
            </a:pPr>
            <a:endParaRPr lang="hu-HU"/>
          </a:p>
        </c:txPr>
        <c:crossAx val="575960072"/>
        <c:crosses val="autoZero"/>
        <c:crossBetween val="between"/>
      </c:valAx>
    </c:plotArea>
    <c:legend>
      <c:legendPos val="b"/>
      <c:layout>
        <c:manualLayout>
          <c:xMode val="edge"/>
          <c:yMode val="edge"/>
          <c:x val="0"/>
          <c:y val="0.85142222096036924"/>
          <c:w val="0.99374117839230491"/>
          <c:h val="0.12501383847423631"/>
        </c:manualLayout>
      </c:layout>
      <c:overlay val="0"/>
    </c:legend>
    <c:plotVisOnly val="1"/>
    <c:dispBlanksAs val="gap"/>
    <c:showDLblsOverMax val="0"/>
  </c:chart>
  <c:spPr>
    <a:ln>
      <a:noFill/>
    </a:ln>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2">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7.3601447098662384E-2"/>
          <c:y val="5.7788284738639346E-2"/>
          <c:w val="0.90346755436058301"/>
          <c:h val="0.62821656749171129"/>
        </c:manualLayout>
      </c:layout>
      <c:barChart>
        <c:barDir val="col"/>
        <c:grouping val="stacked"/>
        <c:varyColors val="0"/>
        <c:ser>
          <c:idx val="0"/>
          <c:order val="0"/>
          <c:tx>
            <c:strRef>
              <c:f>'13. ábra'!$B$4</c:f>
              <c:strCache>
                <c:ptCount val="1"/>
                <c:pt idx="0">
                  <c:v>Mg Beruházási hitelek (db)</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 ábra'!$C$2:$R$3</c:f>
              <c:multiLvlStrCache>
                <c:ptCount val="16"/>
                <c:lvl>
                  <c:pt idx="0">
                    <c:v>Egyéni</c:v>
                  </c:pt>
                  <c:pt idx="1">
                    <c:v>Társas</c:v>
                  </c:pt>
                  <c:pt idx="2">
                    <c:v>Egyéni</c:v>
                  </c:pt>
                  <c:pt idx="3">
                    <c:v>Társas</c:v>
                  </c:pt>
                  <c:pt idx="4">
                    <c:v>Egyéni</c:v>
                  </c:pt>
                  <c:pt idx="5">
                    <c:v>Társas</c:v>
                  </c:pt>
                  <c:pt idx="6">
                    <c:v>Egyéni</c:v>
                  </c:pt>
                  <c:pt idx="7">
                    <c:v>Társas</c:v>
                  </c:pt>
                  <c:pt idx="8">
                    <c:v>Egyéni</c:v>
                  </c:pt>
                  <c:pt idx="9">
                    <c:v>Társas</c:v>
                  </c:pt>
                  <c:pt idx="10">
                    <c:v>Egyéni</c:v>
                  </c:pt>
                  <c:pt idx="11">
                    <c:v>Társas</c:v>
                  </c:pt>
                  <c:pt idx="12">
                    <c:v>Egyéni</c:v>
                  </c:pt>
                  <c:pt idx="13">
                    <c:v>Társas</c:v>
                  </c:pt>
                  <c:pt idx="14">
                    <c:v>Egyéni</c:v>
                  </c:pt>
                  <c:pt idx="15">
                    <c:v>Társas</c:v>
                  </c:pt>
                </c:lvl>
                <c:lvl>
                  <c:pt idx="0">
                    <c:v>2023. I.</c:v>
                  </c:pt>
                  <c:pt idx="2">
                    <c:v>2023. II.</c:v>
                  </c:pt>
                  <c:pt idx="4">
                    <c:v>2023. III.</c:v>
                  </c:pt>
                  <c:pt idx="6">
                    <c:v>2023. IV.</c:v>
                  </c:pt>
                  <c:pt idx="8">
                    <c:v>2024. I.</c:v>
                  </c:pt>
                  <c:pt idx="10">
                    <c:v>2024. II.</c:v>
                  </c:pt>
                  <c:pt idx="12">
                    <c:v>2024. III.</c:v>
                  </c:pt>
                  <c:pt idx="14">
                    <c:v>2024. IV.</c:v>
                  </c:pt>
                </c:lvl>
              </c:multiLvlStrCache>
            </c:multiLvlStrRef>
          </c:cat>
          <c:val>
            <c:numRef>
              <c:f>'13. ábra'!$C$4:$R$4</c:f>
              <c:numCache>
                <c:formatCode>#,##0</c:formatCode>
                <c:ptCount val="16"/>
                <c:pt idx="0">
                  <c:v>8925</c:v>
                </c:pt>
                <c:pt idx="1">
                  <c:v>2471</c:v>
                </c:pt>
                <c:pt idx="2">
                  <c:v>8888</c:v>
                </c:pt>
                <c:pt idx="3">
                  <c:v>2471</c:v>
                </c:pt>
                <c:pt idx="4">
                  <c:v>8863</c:v>
                </c:pt>
                <c:pt idx="5">
                  <c:v>2466</c:v>
                </c:pt>
                <c:pt idx="6">
                  <c:v>8800</c:v>
                </c:pt>
                <c:pt idx="7">
                  <c:v>2390</c:v>
                </c:pt>
                <c:pt idx="8">
                  <c:v>8630</c:v>
                </c:pt>
                <c:pt idx="9">
                  <c:v>2365</c:v>
                </c:pt>
                <c:pt idx="10">
                  <c:v>8609</c:v>
                </c:pt>
                <c:pt idx="11">
                  <c:v>2347</c:v>
                </c:pt>
                <c:pt idx="12">
                  <c:v>8507</c:v>
                </c:pt>
                <c:pt idx="13">
                  <c:v>2325</c:v>
                </c:pt>
                <c:pt idx="14">
                  <c:v>8234</c:v>
                </c:pt>
                <c:pt idx="15">
                  <c:v>2247</c:v>
                </c:pt>
              </c:numCache>
            </c:numRef>
          </c:val>
          <c:extLst xmlns:c16r2="http://schemas.microsoft.com/office/drawing/2015/06/chart">
            <c:ext xmlns:c16="http://schemas.microsoft.com/office/drawing/2014/chart" uri="{C3380CC4-5D6E-409C-BE32-E72D297353CC}">
              <c16:uniqueId val="{00000000-A711-124E-A2F1-240ADB45A081}"/>
            </c:ext>
          </c:extLst>
        </c:ser>
        <c:ser>
          <c:idx val="1"/>
          <c:order val="1"/>
          <c:tx>
            <c:strRef>
              <c:f>'13. ábra'!$B$5</c:f>
              <c:strCache>
                <c:ptCount val="1"/>
                <c:pt idx="0">
                  <c:v>Mg Hosszú lejáratú forgóeszköz hitelek (db)</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 ábra'!$C$2:$R$3</c:f>
              <c:multiLvlStrCache>
                <c:ptCount val="16"/>
                <c:lvl>
                  <c:pt idx="0">
                    <c:v>Egyéni</c:v>
                  </c:pt>
                  <c:pt idx="1">
                    <c:v>Társas</c:v>
                  </c:pt>
                  <c:pt idx="2">
                    <c:v>Egyéni</c:v>
                  </c:pt>
                  <c:pt idx="3">
                    <c:v>Társas</c:v>
                  </c:pt>
                  <c:pt idx="4">
                    <c:v>Egyéni</c:v>
                  </c:pt>
                  <c:pt idx="5">
                    <c:v>Társas</c:v>
                  </c:pt>
                  <c:pt idx="6">
                    <c:v>Egyéni</c:v>
                  </c:pt>
                  <c:pt idx="7">
                    <c:v>Társas</c:v>
                  </c:pt>
                  <c:pt idx="8">
                    <c:v>Egyéni</c:v>
                  </c:pt>
                  <c:pt idx="9">
                    <c:v>Társas</c:v>
                  </c:pt>
                  <c:pt idx="10">
                    <c:v>Egyéni</c:v>
                  </c:pt>
                  <c:pt idx="11">
                    <c:v>Társas</c:v>
                  </c:pt>
                  <c:pt idx="12">
                    <c:v>Egyéni</c:v>
                  </c:pt>
                  <c:pt idx="13">
                    <c:v>Társas</c:v>
                  </c:pt>
                  <c:pt idx="14">
                    <c:v>Egyéni</c:v>
                  </c:pt>
                  <c:pt idx="15">
                    <c:v>Társas</c:v>
                  </c:pt>
                </c:lvl>
                <c:lvl>
                  <c:pt idx="0">
                    <c:v>2023. I.</c:v>
                  </c:pt>
                  <c:pt idx="2">
                    <c:v>2023. II.</c:v>
                  </c:pt>
                  <c:pt idx="4">
                    <c:v>2023. III.</c:v>
                  </c:pt>
                  <c:pt idx="6">
                    <c:v>2023. IV.</c:v>
                  </c:pt>
                  <c:pt idx="8">
                    <c:v>2024. I.</c:v>
                  </c:pt>
                  <c:pt idx="10">
                    <c:v>2024. II.</c:v>
                  </c:pt>
                  <c:pt idx="12">
                    <c:v>2024. III.</c:v>
                  </c:pt>
                  <c:pt idx="14">
                    <c:v>2024. IV.</c:v>
                  </c:pt>
                </c:lvl>
              </c:multiLvlStrCache>
            </c:multiLvlStrRef>
          </c:cat>
          <c:val>
            <c:numRef>
              <c:f>'13. ábra'!$C$5:$R$5</c:f>
              <c:numCache>
                <c:formatCode>#,##0</c:formatCode>
                <c:ptCount val="16"/>
                <c:pt idx="0">
                  <c:v>1021</c:v>
                </c:pt>
                <c:pt idx="1">
                  <c:v>885</c:v>
                </c:pt>
                <c:pt idx="2">
                  <c:v>924</c:v>
                </c:pt>
                <c:pt idx="3">
                  <c:v>929</c:v>
                </c:pt>
                <c:pt idx="4">
                  <c:v>944</c:v>
                </c:pt>
                <c:pt idx="5">
                  <c:v>941</c:v>
                </c:pt>
                <c:pt idx="6">
                  <c:v>820</c:v>
                </c:pt>
                <c:pt idx="7">
                  <c:v>947</c:v>
                </c:pt>
                <c:pt idx="8">
                  <c:v>735</c:v>
                </c:pt>
                <c:pt idx="9">
                  <c:v>899</c:v>
                </c:pt>
                <c:pt idx="10">
                  <c:v>697</c:v>
                </c:pt>
                <c:pt idx="11">
                  <c:v>880</c:v>
                </c:pt>
                <c:pt idx="12">
                  <c:v>704</c:v>
                </c:pt>
                <c:pt idx="13">
                  <c:v>871</c:v>
                </c:pt>
                <c:pt idx="14">
                  <c:v>638</c:v>
                </c:pt>
                <c:pt idx="15">
                  <c:v>821</c:v>
                </c:pt>
              </c:numCache>
            </c:numRef>
          </c:val>
          <c:extLst xmlns:c16r2="http://schemas.microsoft.com/office/drawing/2015/06/chart">
            <c:ext xmlns:c16="http://schemas.microsoft.com/office/drawing/2014/chart" uri="{C3380CC4-5D6E-409C-BE32-E72D297353CC}">
              <c16:uniqueId val="{00000001-A711-124E-A2F1-240ADB45A081}"/>
            </c:ext>
          </c:extLst>
        </c:ser>
        <c:ser>
          <c:idx val="2"/>
          <c:order val="2"/>
          <c:tx>
            <c:strRef>
              <c:f>'13. ábra'!$B$6</c:f>
              <c:strCache>
                <c:ptCount val="1"/>
                <c:pt idx="0">
                  <c:v>Mg Forint folyószámla- és egyéb éven belüli hitelek (db)</c:v>
                </c:pt>
              </c:strCache>
            </c:strRef>
          </c:tx>
          <c:spPr>
            <a:solidFill>
              <a:schemeClr val="accent3"/>
            </a:solidFill>
            <a:ln>
              <a:noFill/>
            </a:ln>
            <a:effectLst/>
          </c:spPr>
          <c:invertIfNegative val="0"/>
          <c:dLbls>
            <c:spPr>
              <a:noFill/>
              <a:ln>
                <a:noFill/>
              </a:ln>
              <a:effectLst/>
            </c:spPr>
            <c:txPr>
              <a:bodyPr rot="0" spcFirstLastPara="1" vertOverflow="ellipsis" vert="horz" wrap="square" anchor="ctr" anchorCtr="1"/>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 ábra'!$C$2:$R$3</c:f>
              <c:multiLvlStrCache>
                <c:ptCount val="16"/>
                <c:lvl>
                  <c:pt idx="0">
                    <c:v>Egyéni</c:v>
                  </c:pt>
                  <c:pt idx="1">
                    <c:v>Társas</c:v>
                  </c:pt>
                  <c:pt idx="2">
                    <c:v>Egyéni</c:v>
                  </c:pt>
                  <c:pt idx="3">
                    <c:v>Társas</c:v>
                  </c:pt>
                  <c:pt idx="4">
                    <c:v>Egyéni</c:v>
                  </c:pt>
                  <c:pt idx="5">
                    <c:v>Társas</c:v>
                  </c:pt>
                  <c:pt idx="6">
                    <c:v>Egyéni</c:v>
                  </c:pt>
                  <c:pt idx="7">
                    <c:v>Társas</c:v>
                  </c:pt>
                  <c:pt idx="8">
                    <c:v>Egyéni</c:v>
                  </c:pt>
                  <c:pt idx="9">
                    <c:v>Társas</c:v>
                  </c:pt>
                  <c:pt idx="10">
                    <c:v>Egyéni</c:v>
                  </c:pt>
                  <c:pt idx="11">
                    <c:v>Társas</c:v>
                  </c:pt>
                  <c:pt idx="12">
                    <c:v>Egyéni</c:v>
                  </c:pt>
                  <c:pt idx="13">
                    <c:v>Társas</c:v>
                  </c:pt>
                  <c:pt idx="14">
                    <c:v>Egyéni</c:v>
                  </c:pt>
                  <c:pt idx="15">
                    <c:v>Társas</c:v>
                  </c:pt>
                </c:lvl>
                <c:lvl>
                  <c:pt idx="0">
                    <c:v>2023. I.</c:v>
                  </c:pt>
                  <c:pt idx="2">
                    <c:v>2023. II.</c:v>
                  </c:pt>
                  <c:pt idx="4">
                    <c:v>2023. III.</c:v>
                  </c:pt>
                  <c:pt idx="6">
                    <c:v>2023. IV.</c:v>
                  </c:pt>
                  <c:pt idx="8">
                    <c:v>2024. I.</c:v>
                  </c:pt>
                  <c:pt idx="10">
                    <c:v>2024. II.</c:v>
                  </c:pt>
                  <c:pt idx="12">
                    <c:v>2024. III.</c:v>
                  </c:pt>
                  <c:pt idx="14">
                    <c:v>2024. IV.</c:v>
                  </c:pt>
                </c:lvl>
              </c:multiLvlStrCache>
            </c:multiLvlStrRef>
          </c:cat>
          <c:val>
            <c:numRef>
              <c:f>'13. ábra'!$C$6:$R$6</c:f>
              <c:numCache>
                <c:formatCode>#,##0</c:formatCode>
                <c:ptCount val="16"/>
                <c:pt idx="0">
                  <c:v>9866</c:v>
                </c:pt>
                <c:pt idx="1">
                  <c:v>2681</c:v>
                </c:pt>
                <c:pt idx="2">
                  <c:v>9790</c:v>
                </c:pt>
                <c:pt idx="3">
                  <c:v>2660</c:v>
                </c:pt>
                <c:pt idx="4">
                  <c:v>9736</c:v>
                </c:pt>
                <c:pt idx="5">
                  <c:v>2607</c:v>
                </c:pt>
                <c:pt idx="6">
                  <c:v>9522</c:v>
                </c:pt>
                <c:pt idx="7">
                  <c:v>2645</c:v>
                </c:pt>
                <c:pt idx="8">
                  <c:v>9579</c:v>
                </c:pt>
                <c:pt idx="9">
                  <c:v>2688</c:v>
                </c:pt>
                <c:pt idx="10">
                  <c:v>13460</c:v>
                </c:pt>
                <c:pt idx="11">
                  <c:v>3629</c:v>
                </c:pt>
                <c:pt idx="12">
                  <c:v>14840</c:v>
                </c:pt>
                <c:pt idx="13">
                  <c:v>3939</c:v>
                </c:pt>
                <c:pt idx="14">
                  <c:v>7251</c:v>
                </c:pt>
                <c:pt idx="15">
                  <c:v>2251</c:v>
                </c:pt>
              </c:numCache>
            </c:numRef>
          </c:val>
          <c:extLst xmlns:c16r2="http://schemas.microsoft.com/office/drawing/2015/06/chart">
            <c:ext xmlns:c16="http://schemas.microsoft.com/office/drawing/2014/chart" uri="{C3380CC4-5D6E-409C-BE32-E72D297353CC}">
              <c16:uniqueId val="{00000002-A711-124E-A2F1-240ADB45A081}"/>
            </c:ext>
          </c:extLst>
        </c:ser>
        <c:ser>
          <c:idx val="3"/>
          <c:order val="3"/>
          <c:tx>
            <c:strRef>
              <c:f>'13. ábra'!$B$7</c:f>
              <c:strCache>
                <c:ptCount val="1"/>
                <c:pt idx="0">
                  <c:v>Mg Egyéb hitelek (db)</c:v>
                </c:pt>
              </c:strCache>
            </c:strRef>
          </c:tx>
          <c:spPr>
            <a:solidFill>
              <a:schemeClr val="accent4"/>
            </a:solidFill>
            <a:ln>
              <a:noFill/>
            </a:ln>
            <a:effectLst/>
          </c:spPr>
          <c:invertIfNegative val="0"/>
          <c:dLbls>
            <c:spPr>
              <a:noFill/>
              <a:ln>
                <a:noFill/>
              </a:ln>
              <a:effectLst/>
            </c:spPr>
            <c:txPr>
              <a:bodyPr rot="0" spcFirstLastPara="1" vertOverflow="ellipsis" vert="horz" wrap="square" anchor="ctr" anchorCtr="1"/>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'13. ábra'!$C$2:$R$3</c:f>
              <c:multiLvlStrCache>
                <c:ptCount val="16"/>
                <c:lvl>
                  <c:pt idx="0">
                    <c:v>Egyéni</c:v>
                  </c:pt>
                  <c:pt idx="1">
                    <c:v>Társas</c:v>
                  </c:pt>
                  <c:pt idx="2">
                    <c:v>Egyéni</c:v>
                  </c:pt>
                  <c:pt idx="3">
                    <c:v>Társas</c:v>
                  </c:pt>
                  <c:pt idx="4">
                    <c:v>Egyéni</c:v>
                  </c:pt>
                  <c:pt idx="5">
                    <c:v>Társas</c:v>
                  </c:pt>
                  <c:pt idx="6">
                    <c:v>Egyéni</c:v>
                  </c:pt>
                  <c:pt idx="7">
                    <c:v>Társas</c:v>
                  </c:pt>
                  <c:pt idx="8">
                    <c:v>Egyéni</c:v>
                  </c:pt>
                  <c:pt idx="9">
                    <c:v>Társas</c:v>
                  </c:pt>
                  <c:pt idx="10">
                    <c:v>Egyéni</c:v>
                  </c:pt>
                  <c:pt idx="11">
                    <c:v>Társas</c:v>
                  </c:pt>
                  <c:pt idx="12">
                    <c:v>Egyéni</c:v>
                  </c:pt>
                  <c:pt idx="13">
                    <c:v>Társas</c:v>
                  </c:pt>
                  <c:pt idx="14">
                    <c:v>Egyéni</c:v>
                  </c:pt>
                  <c:pt idx="15">
                    <c:v>Társas</c:v>
                  </c:pt>
                </c:lvl>
                <c:lvl>
                  <c:pt idx="0">
                    <c:v>2023. I.</c:v>
                  </c:pt>
                  <c:pt idx="2">
                    <c:v>2023. II.</c:v>
                  </c:pt>
                  <c:pt idx="4">
                    <c:v>2023. III.</c:v>
                  </c:pt>
                  <c:pt idx="6">
                    <c:v>2023. IV.</c:v>
                  </c:pt>
                  <c:pt idx="8">
                    <c:v>2024. I.</c:v>
                  </c:pt>
                  <c:pt idx="10">
                    <c:v>2024. II.</c:v>
                  </c:pt>
                  <c:pt idx="12">
                    <c:v>2024. III.</c:v>
                  </c:pt>
                  <c:pt idx="14">
                    <c:v>2024. IV.</c:v>
                  </c:pt>
                </c:lvl>
              </c:multiLvlStrCache>
            </c:multiLvlStrRef>
          </c:cat>
          <c:val>
            <c:numRef>
              <c:f>'13. ábra'!$C$7:$R$7</c:f>
              <c:numCache>
                <c:formatCode>#,##0</c:formatCode>
                <c:ptCount val="16"/>
                <c:pt idx="0">
                  <c:v>2160</c:v>
                </c:pt>
                <c:pt idx="1">
                  <c:v>874</c:v>
                </c:pt>
                <c:pt idx="2">
                  <c:v>2195</c:v>
                </c:pt>
                <c:pt idx="3">
                  <c:v>839</c:v>
                </c:pt>
                <c:pt idx="4">
                  <c:v>2045</c:v>
                </c:pt>
                <c:pt idx="5">
                  <c:v>802</c:v>
                </c:pt>
                <c:pt idx="6">
                  <c:v>3986</c:v>
                </c:pt>
                <c:pt idx="7">
                  <c:v>2145</c:v>
                </c:pt>
                <c:pt idx="8">
                  <c:v>4176</c:v>
                </c:pt>
                <c:pt idx="9">
                  <c:v>2260</c:v>
                </c:pt>
                <c:pt idx="10">
                  <c:v>4856</c:v>
                </c:pt>
                <c:pt idx="11">
                  <c:v>2426</c:v>
                </c:pt>
                <c:pt idx="12">
                  <c:v>5221</c:v>
                </c:pt>
                <c:pt idx="13">
                  <c:v>2438</c:v>
                </c:pt>
                <c:pt idx="14">
                  <c:v>1892</c:v>
                </c:pt>
                <c:pt idx="15">
                  <c:v>641</c:v>
                </c:pt>
              </c:numCache>
            </c:numRef>
          </c:val>
          <c:extLst xmlns:c16r2="http://schemas.microsoft.com/office/drawing/2015/06/chart">
            <c:ext xmlns:c16="http://schemas.microsoft.com/office/drawing/2014/chart" uri="{C3380CC4-5D6E-409C-BE32-E72D297353CC}">
              <c16:uniqueId val="{00000003-A711-124E-A2F1-240ADB45A081}"/>
            </c:ext>
          </c:extLst>
        </c:ser>
        <c:dLbls>
          <c:dLblPos val="ctr"/>
          <c:showLegendKey val="0"/>
          <c:showVal val="1"/>
          <c:showCatName val="0"/>
          <c:showSerName val="0"/>
          <c:showPercent val="0"/>
          <c:showBubbleSize val="0"/>
        </c:dLbls>
        <c:gapWidth val="150"/>
        <c:overlap val="100"/>
        <c:axId val="575949096"/>
        <c:axId val="575954584"/>
      </c:barChart>
      <c:catAx>
        <c:axId val="57594909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575954584"/>
        <c:crosses val="autoZero"/>
        <c:auto val="1"/>
        <c:lblAlgn val="ctr"/>
        <c:lblOffset val="100"/>
        <c:noMultiLvlLbl val="0"/>
      </c:catAx>
      <c:valAx>
        <c:axId val="57595458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575949096"/>
        <c:crosses val="autoZero"/>
        <c:crossBetween val="between"/>
      </c:valAx>
      <c:spPr>
        <a:noFill/>
        <a:ln>
          <a:noFill/>
        </a:ln>
        <a:effectLst/>
      </c:spPr>
    </c:plotArea>
    <c:legend>
      <c:legendPos val="b"/>
      <c:layout>
        <c:manualLayout>
          <c:xMode val="edge"/>
          <c:yMode val="edge"/>
          <c:x val="6.5103846071773858E-2"/>
          <c:y val="0.84217221074316062"/>
          <c:w val="0.90106185132111749"/>
          <c:h val="0.12630690667212699"/>
        </c:manualLayout>
      </c:layout>
      <c:overlay val="0"/>
      <c:spPr>
        <a:noFill/>
        <a:ln>
          <a:noFill/>
        </a:ln>
        <a:effectLst/>
      </c:spPr>
      <c:txPr>
        <a:bodyPr rot="0" spcFirstLastPara="1" vertOverflow="ellipsis" vert="horz" wrap="square" anchor="ctr" anchorCtr="1"/>
        <a:lstStyle/>
        <a:p>
          <a:pPr>
            <a:defRPr sz="7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4">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288994410049889E-2"/>
          <c:y val="2.7364189467150704E-2"/>
          <c:w val="0.91501282809717088"/>
          <c:h val="0.6680911105176931"/>
        </c:manualLayout>
      </c:layout>
      <c:barChart>
        <c:barDir val="col"/>
        <c:grouping val="stacked"/>
        <c:varyColors val="0"/>
        <c:ser>
          <c:idx val="0"/>
          <c:order val="0"/>
          <c:tx>
            <c:strRef>
              <c:f>'14. ábra'!$C$5</c:f>
              <c:strCache>
                <c:ptCount val="1"/>
                <c:pt idx="0">
                  <c:v>Élip Beruházási hitelek (db)</c:v>
                </c:pt>
              </c:strCache>
            </c:strRef>
          </c:tx>
          <c:spPr>
            <a:solidFill>
              <a:schemeClr val="accent1"/>
            </a:solidFill>
            <a:ln>
              <a:noFill/>
            </a:ln>
            <a:effectLst/>
          </c:spPr>
          <c:invertIfNegative val="0"/>
          <c:dLbls>
            <c:dLbl>
              <c:idx val="0"/>
              <c:layout>
                <c:manualLayout>
                  <c:x val="-3.2619775739041797E-2"/>
                  <c:y val="-3.2962500872727629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52A-B244-91F9-551B862B2566}"/>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1-C52A-B244-91F9-551B862B2566}"/>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2-C52A-B244-91F9-551B862B2566}"/>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3-C52A-B244-91F9-551B862B2566}"/>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4-C52A-B244-91F9-551B862B2566}"/>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5-C52A-B244-91F9-551B862B2566}"/>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6-C52A-B244-91F9-551B862B2566}"/>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07-C52A-B244-91F9-551B862B2566}"/>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'14. ábra'!$D$3:$S$4</c:f>
              <c:multiLvlStrCache>
                <c:ptCount val="16"/>
                <c:lvl>
                  <c:pt idx="0">
                    <c:v>Egyéni</c:v>
                  </c:pt>
                  <c:pt idx="1">
                    <c:v>Társas</c:v>
                  </c:pt>
                  <c:pt idx="2">
                    <c:v>Egyéni</c:v>
                  </c:pt>
                  <c:pt idx="3">
                    <c:v>Társas</c:v>
                  </c:pt>
                  <c:pt idx="4">
                    <c:v>Egyéni</c:v>
                  </c:pt>
                  <c:pt idx="5">
                    <c:v>Társas</c:v>
                  </c:pt>
                  <c:pt idx="6">
                    <c:v>Egyéni</c:v>
                  </c:pt>
                  <c:pt idx="7">
                    <c:v>Társas</c:v>
                  </c:pt>
                  <c:pt idx="8">
                    <c:v>Egyéni</c:v>
                  </c:pt>
                  <c:pt idx="9">
                    <c:v>Társas</c:v>
                  </c:pt>
                  <c:pt idx="10">
                    <c:v>Egyéni</c:v>
                  </c:pt>
                  <c:pt idx="11">
                    <c:v>Társas</c:v>
                  </c:pt>
                  <c:pt idx="12">
                    <c:v>Egyéni</c:v>
                  </c:pt>
                  <c:pt idx="13">
                    <c:v>Társas</c:v>
                  </c:pt>
                  <c:pt idx="14">
                    <c:v>Egyéni</c:v>
                  </c:pt>
                  <c:pt idx="15">
                    <c:v>Társas</c:v>
                  </c:pt>
                </c:lvl>
                <c:lvl>
                  <c:pt idx="0">
                    <c:v>2023. I.</c:v>
                  </c:pt>
                  <c:pt idx="2">
                    <c:v>2023. II.</c:v>
                  </c:pt>
                  <c:pt idx="4">
                    <c:v>2023. III.</c:v>
                  </c:pt>
                  <c:pt idx="6">
                    <c:v>2023. IV.</c:v>
                  </c:pt>
                  <c:pt idx="8">
                    <c:v>2024. I.</c:v>
                  </c:pt>
                  <c:pt idx="10">
                    <c:v>2024. II.</c:v>
                  </c:pt>
                  <c:pt idx="12">
                    <c:v>2024. III.</c:v>
                  </c:pt>
                  <c:pt idx="14">
                    <c:v>2024. IV.</c:v>
                  </c:pt>
                </c:lvl>
              </c:multiLvlStrCache>
            </c:multiLvlStrRef>
          </c:cat>
          <c:val>
            <c:numRef>
              <c:f>'14. ábra'!$D$5:$S$5</c:f>
              <c:numCache>
                <c:formatCode>#,##0</c:formatCode>
                <c:ptCount val="16"/>
                <c:pt idx="0">
                  <c:v>112</c:v>
                </c:pt>
                <c:pt idx="1">
                  <c:v>1045</c:v>
                </c:pt>
                <c:pt idx="2">
                  <c:v>106</c:v>
                </c:pt>
                <c:pt idx="3">
                  <c:v>1056</c:v>
                </c:pt>
                <c:pt idx="4">
                  <c:v>103</c:v>
                </c:pt>
                <c:pt idx="5">
                  <c:v>1051</c:v>
                </c:pt>
                <c:pt idx="6">
                  <c:v>107</c:v>
                </c:pt>
                <c:pt idx="7">
                  <c:v>1040</c:v>
                </c:pt>
                <c:pt idx="8">
                  <c:v>109</c:v>
                </c:pt>
                <c:pt idx="9">
                  <c:v>1040</c:v>
                </c:pt>
                <c:pt idx="10">
                  <c:v>108</c:v>
                </c:pt>
                <c:pt idx="11">
                  <c:v>1035</c:v>
                </c:pt>
                <c:pt idx="12">
                  <c:v>108</c:v>
                </c:pt>
                <c:pt idx="13">
                  <c:v>1018</c:v>
                </c:pt>
                <c:pt idx="14">
                  <c:v>110</c:v>
                </c:pt>
                <c:pt idx="15">
                  <c:v>988</c:v>
                </c:pt>
              </c:numCache>
            </c:numRef>
          </c:val>
          <c:extLst xmlns:c16r2="http://schemas.microsoft.com/office/drawing/2015/06/chart">
            <c:ext xmlns:c16="http://schemas.microsoft.com/office/drawing/2014/chart" uri="{C3380CC4-5D6E-409C-BE32-E72D297353CC}">
              <c16:uniqueId val="{00000008-C52A-B244-91F9-551B862B2566}"/>
            </c:ext>
          </c:extLst>
        </c:ser>
        <c:ser>
          <c:idx val="1"/>
          <c:order val="1"/>
          <c:tx>
            <c:strRef>
              <c:f>'14. ábra'!$C$6</c:f>
              <c:strCache>
                <c:ptCount val="1"/>
                <c:pt idx="0">
                  <c:v>Élip Hosszú lejáratú forgóeszköz hitelek (db)</c:v>
                </c:pt>
              </c:strCache>
            </c:strRef>
          </c:tx>
          <c:spPr>
            <a:solidFill>
              <a:schemeClr val="accent2"/>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09-C52A-B244-91F9-551B862B2566}"/>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0A-C52A-B244-91F9-551B862B2566}"/>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0B-C52A-B244-91F9-551B862B2566}"/>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0C-C52A-B244-91F9-551B862B2566}"/>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0D-C52A-B244-91F9-551B862B2566}"/>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0E-C52A-B244-91F9-551B862B2566}"/>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0F-C52A-B244-91F9-551B862B2566}"/>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10-C52A-B244-91F9-551B862B2566}"/>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'14. ábra'!$D$3:$S$4</c:f>
              <c:multiLvlStrCache>
                <c:ptCount val="16"/>
                <c:lvl>
                  <c:pt idx="0">
                    <c:v>Egyéni</c:v>
                  </c:pt>
                  <c:pt idx="1">
                    <c:v>Társas</c:v>
                  </c:pt>
                  <c:pt idx="2">
                    <c:v>Egyéni</c:v>
                  </c:pt>
                  <c:pt idx="3">
                    <c:v>Társas</c:v>
                  </c:pt>
                  <c:pt idx="4">
                    <c:v>Egyéni</c:v>
                  </c:pt>
                  <c:pt idx="5">
                    <c:v>Társas</c:v>
                  </c:pt>
                  <c:pt idx="6">
                    <c:v>Egyéni</c:v>
                  </c:pt>
                  <c:pt idx="7">
                    <c:v>Társas</c:v>
                  </c:pt>
                  <c:pt idx="8">
                    <c:v>Egyéni</c:v>
                  </c:pt>
                  <c:pt idx="9">
                    <c:v>Társas</c:v>
                  </c:pt>
                  <c:pt idx="10">
                    <c:v>Egyéni</c:v>
                  </c:pt>
                  <c:pt idx="11">
                    <c:v>Társas</c:v>
                  </c:pt>
                  <c:pt idx="12">
                    <c:v>Egyéni</c:v>
                  </c:pt>
                  <c:pt idx="13">
                    <c:v>Társas</c:v>
                  </c:pt>
                  <c:pt idx="14">
                    <c:v>Egyéni</c:v>
                  </c:pt>
                  <c:pt idx="15">
                    <c:v>Társas</c:v>
                  </c:pt>
                </c:lvl>
                <c:lvl>
                  <c:pt idx="0">
                    <c:v>2023. I.</c:v>
                  </c:pt>
                  <c:pt idx="2">
                    <c:v>2023. II.</c:v>
                  </c:pt>
                  <c:pt idx="4">
                    <c:v>2023. III.</c:v>
                  </c:pt>
                  <c:pt idx="6">
                    <c:v>2023. IV.</c:v>
                  </c:pt>
                  <c:pt idx="8">
                    <c:v>2024. I.</c:v>
                  </c:pt>
                  <c:pt idx="10">
                    <c:v>2024. II.</c:v>
                  </c:pt>
                  <c:pt idx="12">
                    <c:v>2024. III.</c:v>
                  </c:pt>
                  <c:pt idx="14">
                    <c:v>2024. IV.</c:v>
                  </c:pt>
                </c:lvl>
              </c:multiLvlStrCache>
            </c:multiLvlStrRef>
          </c:cat>
          <c:val>
            <c:numRef>
              <c:f>'14. ábra'!$D$6:$S$6</c:f>
              <c:numCache>
                <c:formatCode>#,##0</c:formatCode>
                <c:ptCount val="16"/>
                <c:pt idx="0">
                  <c:v>27</c:v>
                </c:pt>
                <c:pt idx="1">
                  <c:v>611</c:v>
                </c:pt>
                <c:pt idx="2">
                  <c:v>26</c:v>
                </c:pt>
                <c:pt idx="3">
                  <c:v>623</c:v>
                </c:pt>
                <c:pt idx="4">
                  <c:v>32</c:v>
                </c:pt>
                <c:pt idx="5">
                  <c:v>626</c:v>
                </c:pt>
                <c:pt idx="6">
                  <c:v>30</c:v>
                </c:pt>
                <c:pt idx="7">
                  <c:v>613</c:v>
                </c:pt>
                <c:pt idx="8">
                  <c:v>31</c:v>
                </c:pt>
                <c:pt idx="9">
                  <c:v>579</c:v>
                </c:pt>
                <c:pt idx="10">
                  <c:v>26</c:v>
                </c:pt>
                <c:pt idx="11">
                  <c:v>557</c:v>
                </c:pt>
                <c:pt idx="12">
                  <c:v>28</c:v>
                </c:pt>
                <c:pt idx="13">
                  <c:v>545</c:v>
                </c:pt>
                <c:pt idx="14">
                  <c:v>31</c:v>
                </c:pt>
                <c:pt idx="15">
                  <c:v>517</c:v>
                </c:pt>
              </c:numCache>
            </c:numRef>
          </c:val>
          <c:extLst xmlns:c16r2="http://schemas.microsoft.com/office/drawing/2015/06/chart">
            <c:ext xmlns:c16="http://schemas.microsoft.com/office/drawing/2014/chart" uri="{C3380CC4-5D6E-409C-BE32-E72D297353CC}">
              <c16:uniqueId val="{00000011-C52A-B244-91F9-551B862B2566}"/>
            </c:ext>
          </c:extLst>
        </c:ser>
        <c:ser>
          <c:idx val="2"/>
          <c:order val="2"/>
          <c:tx>
            <c:strRef>
              <c:f>'14. ábra'!$C$7</c:f>
              <c:strCache>
                <c:ptCount val="1"/>
                <c:pt idx="0">
                  <c:v>Élip Forint folyószámla- és egyéb éven belüli hitelek (db)</c:v>
                </c:pt>
              </c:strCache>
            </c:strRef>
          </c:tx>
          <c:spPr>
            <a:solidFill>
              <a:schemeClr val="accent3"/>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12-C52A-B244-91F9-551B862B2566}"/>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13-C52A-B244-91F9-551B862B2566}"/>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14-C52A-B244-91F9-551B862B2566}"/>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15-C52A-B244-91F9-551B862B2566}"/>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16-C52A-B244-91F9-551B862B2566}"/>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17-C52A-B244-91F9-551B862B2566}"/>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18-C52A-B244-91F9-551B862B2566}"/>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19-C52A-B244-91F9-551B862B2566}"/>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'14. ábra'!$D$3:$S$4</c:f>
              <c:multiLvlStrCache>
                <c:ptCount val="16"/>
                <c:lvl>
                  <c:pt idx="0">
                    <c:v>Egyéni</c:v>
                  </c:pt>
                  <c:pt idx="1">
                    <c:v>Társas</c:v>
                  </c:pt>
                  <c:pt idx="2">
                    <c:v>Egyéni</c:v>
                  </c:pt>
                  <c:pt idx="3">
                    <c:v>Társas</c:v>
                  </c:pt>
                  <c:pt idx="4">
                    <c:v>Egyéni</c:v>
                  </c:pt>
                  <c:pt idx="5">
                    <c:v>Társas</c:v>
                  </c:pt>
                  <c:pt idx="6">
                    <c:v>Egyéni</c:v>
                  </c:pt>
                  <c:pt idx="7">
                    <c:v>Társas</c:v>
                  </c:pt>
                  <c:pt idx="8">
                    <c:v>Egyéni</c:v>
                  </c:pt>
                  <c:pt idx="9">
                    <c:v>Társas</c:v>
                  </c:pt>
                  <c:pt idx="10">
                    <c:v>Egyéni</c:v>
                  </c:pt>
                  <c:pt idx="11">
                    <c:v>Társas</c:v>
                  </c:pt>
                  <c:pt idx="12">
                    <c:v>Egyéni</c:v>
                  </c:pt>
                  <c:pt idx="13">
                    <c:v>Társas</c:v>
                  </c:pt>
                  <c:pt idx="14">
                    <c:v>Egyéni</c:v>
                  </c:pt>
                  <c:pt idx="15">
                    <c:v>Társas</c:v>
                  </c:pt>
                </c:lvl>
                <c:lvl>
                  <c:pt idx="0">
                    <c:v>2023. I.</c:v>
                  </c:pt>
                  <c:pt idx="2">
                    <c:v>2023. II.</c:v>
                  </c:pt>
                  <c:pt idx="4">
                    <c:v>2023. III.</c:v>
                  </c:pt>
                  <c:pt idx="6">
                    <c:v>2023. IV.</c:v>
                  </c:pt>
                  <c:pt idx="8">
                    <c:v>2024. I.</c:v>
                  </c:pt>
                  <c:pt idx="10">
                    <c:v>2024. II.</c:v>
                  </c:pt>
                  <c:pt idx="12">
                    <c:v>2024. III.</c:v>
                  </c:pt>
                  <c:pt idx="14">
                    <c:v>2024. IV.</c:v>
                  </c:pt>
                </c:lvl>
              </c:multiLvlStrCache>
            </c:multiLvlStrRef>
          </c:cat>
          <c:val>
            <c:numRef>
              <c:f>'14. ábra'!$D$7:$S$7</c:f>
              <c:numCache>
                <c:formatCode>#,##0</c:formatCode>
                <c:ptCount val="16"/>
                <c:pt idx="0">
                  <c:v>205</c:v>
                </c:pt>
                <c:pt idx="1">
                  <c:v>1258</c:v>
                </c:pt>
                <c:pt idx="2">
                  <c:v>199</c:v>
                </c:pt>
                <c:pt idx="3">
                  <c:v>1264</c:v>
                </c:pt>
                <c:pt idx="4">
                  <c:v>192</c:v>
                </c:pt>
                <c:pt idx="5">
                  <c:v>1237</c:v>
                </c:pt>
                <c:pt idx="6">
                  <c:v>193</c:v>
                </c:pt>
                <c:pt idx="7">
                  <c:v>1283</c:v>
                </c:pt>
                <c:pt idx="8">
                  <c:v>192</c:v>
                </c:pt>
                <c:pt idx="9">
                  <c:v>1284</c:v>
                </c:pt>
                <c:pt idx="10">
                  <c:v>299</c:v>
                </c:pt>
                <c:pt idx="11">
                  <c:v>1730</c:v>
                </c:pt>
                <c:pt idx="12">
                  <c:v>336</c:v>
                </c:pt>
                <c:pt idx="13">
                  <c:v>1804</c:v>
                </c:pt>
                <c:pt idx="14">
                  <c:v>158</c:v>
                </c:pt>
                <c:pt idx="15">
                  <c:v>1087</c:v>
                </c:pt>
              </c:numCache>
            </c:numRef>
          </c:val>
          <c:extLst xmlns:c16r2="http://schemas.microsoft.com/office/drawing/2015/06/chart">
            <c:ext xmlns:c16="http://schemas.microsoft.com/office/drawing/2014/chart" uri="{C3380CC4-5D6E-409C-BE32-E72D297353CC}">
              <c16:uniqueId val="{0000001A-C52A-B244-91F9-551B862B2566}"/>
            </c:ext>
          </c:extLst>
        </c:ser>
        <c:ser>
          <c:idx val="3"/>
          <c:order val="3"/>
          <c:tx>
            <c:strRef>
              <c:f>'14. ábra'!$C$8</c:f>
              <c:strCache>
                <c:ptCount val="1"/>
                <c:pt idx="0">
                  <c:v>Élip Egyéb hitelek (db)</c:v>
                </c:pt>
              </c:strCache>
            </c:strRef>
          </c:tx>
          <c:spPr>
            <a:solidFill>
              <a:schemeClr val="accent4"/>
            </a:solidFill>
            <a:ln>
              <a:noFill/>
            </a:ln>
            <a:effectLst/>
          </c:spPr>
          <c:invertIfNegative val="0"/>
          <c:dLbls>
            <c:dLbl>
              <c:idx val="0"/>
              <c:delete val="1"/>
              <c:extLst xmlns:c16r2="http://schemas.microsoft.com/office/drawing/2015/06/chart">
                <c:ext xmlns:c16="http://schemas.microsoft.com/office/drawing/2014/chart" uri="{C3380CC4-5D6E-409C-BE32-E72D297353CC}">
                  <c16:uniqueId val="{0000001B-C52A-B244-91F9-551B862B2566}"/>
                </c:ext>
                <c:ext xmlns:c15="http://schemas.microsoft.com/office/drawing/2012/chart" uri="{CE6537A1-D6FC-4f65-9D91-7224C49458BB}"/>
              </c:extLst>
            </c:dLbl>
            <c:dLbl>
              <c:idx val="2"/>
              <c:delete val="1"/>
              <c:extLst xmlns:c16r2="http://schemas.microsoft.com/office/drawing/2015/06/chart">
                <c:ext xmlns:c16="http://schemas.microsoft.com/office/drawing/2014/chart" uri="{C3380CC4-5D6E-409C-BE32-E72D297353CC}">
                  <c16:uniqueId val="{0000001C-C52A-B244-91F9-551B862B2566}"/>
                </c:ext>
                <c:ext xmlns:c15="http://schemas.microsoft.com/office/drawing/2012/chart" uri="{CE6537A1-D6FC-4f65-9D91-7224C49458BB}"/>
              </c:extLst>
            </c:dLbl>
            <c:dLbl>
              <c:idx val="4"/>
              <c:delete val="1"/>
              <c:extLst xmlns:c16r2="http://schemas.microsoft.com/office/drawing/2015/06/chart">
                <c:ext xmlns:c16="http://schemas.microsoft.com/office/drawing/2014/chart" uri="{C3380CC4-5D6E-409C-BE32-E72D297353CC}">
                  <c16:uniqueId val="{0000001D-C52A-B244-91F9-551B862B2566}"/>
                </c:ext>
                <c:ext xmlns:c15="http://schemas.microsoft.com/office/drawing/2012/chart" uri="{CE6537A1-D6FC-4f65-9D91-7224C49458BB}"/>
              </c:extLst>
            </c:dLbl>
            <c:dLbl>
              <c:idx val="6"/>
              <c:delete val="1"/>
              <c:extLst xmlns:c16r2="http://schemas.microsoft.com/office/drawing/2015/06/chart">
                <c:ext xmlns:c16="http://schemas.microsoft.com/office/drawing/2014/chart" uri="{C3380CC4-5D6E-409C-BE32-E72D297353CC}">
                  <c16:uniqueId val="{0000001E-C52A-B244-91F9-551B862B2566}"/>
                </c:ext>
                <c:ext xmlns:c15="http://schemas.microsoft.com/office/drawing/2012/chart" uri="{CE6537A1-D6FC-4f65-9D91-7224C49458BB}"/>
              </c:extLst>
            </c:dLbl>
            <c:dLbl>
              <c:idx val="8"/>
              <c:delete val="1"/>
              <c:extLst xmlns:c16r2="http://schemas.microsoft.com/office/drawing/2015/06/chart">
                <c:ext xmlns:c16="http://schemas.microsoft.com/office/drawing/2014/chart" uri="{C3380CC4-5D6E-409C-BE32-E72D297353CC}">
                  <c16:uniqueId val="{0000001F-C52A-B244-91F9-551B862B2566}"/>
                </c:ext>
                <c:ext xmlns:c15="http://schemas.microsoft.com/office/drawing/2012/chart" uri="{CE6537A1-D6FC-4f65-9D91-7224C49458BB}"/>
              </c:extLst>
            </c:dLbl>
            <c:dLbl>
              <c:idx val="10"/>
              <c:delete val="1"/>
              <c:extLst xmlns:c16r2="http://schemas.microsoft.com/office/drawing/2015/06/chart">
                <c:ext xmlns:c16="http://schemas.microsoft.com/office/drawing/2014/chart" uri="{C3380CC4-5D6E-409C-BE32-E72D297353CC}">
                  <c16:uniqueId val="{00000020-C52A-B244-91F9-551B862B2566}"/>
                </c:ext>
                <c:ext xmlns:c15="http://schemas.microsoft.com/office/drawing/2012/chart" uri="{CE6537A1-D6FC-4f65-9D91-7224C49458BB}"/>
              </c:extLst>
            </c:dLbl>
            <c:dLbl>
              <c:idx val="12"/>
              <c:delete val="1"/>
              <c:extLst xmlns:c16r2="http://schemas.microsoft.com/office/drawing/2015/06/chart">
                <c:ext xmlns:c16="http://schemas.microsoft.com/office/drawing/2014/chart" uri="{C3380CC4-5D6E-409C-BE32-E72D297353CC}">
                  <c16:uniqueId val="{00000021-C52A-B244-91F9-551B862B2566}"/>
                </c:ext>
                <c:ext xmlns:c15="http://schemas.microsoft.com/office/drawing/2012/chart" uri="{CE6537A1-D6FC-4f65-9D91-7224C49458BB}"/>
              </c:extLst>
            </c:dLbl>
            <c:dLbl>
              <c:idx val="14"/>
              <c:delete val="1"/>
              <c:extLst xmlns:c16r2="http://schemas.microsoft.com/office/drawing/2015/06/chart">
                <c:ext xmlns:c16="http://schemas.microsoft.com/office/drawing/2014/chart" uri="{C3380CC4-5D6E-409C-BE32-E72D297353CC}">
                  <c16:uniqueId val="{00000022-C52A-B244-91F9-551B862B2566}"/>
                </c:ext>
                <c:ext xmlns:c15="http://schemas.microsoft.com/office/drawing/2012/chart" uri="{CE6537A1-D6FC-4f65-9D91-7224C49458BB}"/>
              </c:extLst>
            </c:dLbl>
            <c:spPr>
              <a:noFill/>
              <a:ln>
                <a:noFill/>
              </a:ln>
              <a:effectLst/>
            </c:spPr>
            <c:txPr>
              <a:bodyPr rot="0" spcFirstLastPara="1" vertOverflow="ellipsis" vert="horz" wrap="square" anchor="ctr" anchorCtr="1"/>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'14. ábra'!$D$3:$S$4</c:f>
              <c:multiLvlStrCache>
                <c:ptCount val="16"/>
                <c:lvl>
                  <c:pt idx="0">
                    <c:v>Egyéni</c:v>
                  </c:pt>
                  <c:pt idx="1">
                    <c:v>Társas</c:v>
                  </c:pt>
                  <c:pt idx="2">
                    <c:v>Egyéni</c:v>
                  </c:pt>
                  <c:pt idx="3">
                    <c:v>Társas</c:v>
                  </c:pt>
                  <c:pt idx="4">
                    <c:v>Egyéni</c:v>
                  </c:pt>
                  <c:pt idx="5">
                    <c:v>Társas</c:v>
                  </c:pt>
                  <c:pt idx="6">
                    <c:v>Egyéni</c:v>
                  </c:pt>
                  <c:pt idx="7">
                    <c:v>Társas</c:v>
                  </c:pt>
                  <c:pt idx="8">
                    <c:v>Egyéni</c:v>
                  </c:pt>
                  <c:pt idx="9">
                    <c:v>Társas</c:v>
                  </c:pt>
                  <c:pt idx="10">
                    <c:v>Egyéni</c:v>
                  </c:pt>
                  <c:pt idx="11">
                    <c:v>Társas</c:v>
                  </c:pt>
                  <c:pt idx="12">
                    <c:v>Egyéni</c:v>
                  </c:pt>
                  <c:pt idx="13">
                    <c:v>Társas</c:v>
                  </c:pt>
                  <c:pt idx="14">
                    <c:v>Egyéni</c:v>
                  </c:pt>
                  <c:pt idx="15">
                    <c:v>Társas</c:v>
                  </c:pt>
                </c:lvl>
                <c:lvl>
                  <c:pt idx="0">
                    <c:v>2023. I.</c:v>
                  </c:pt>
                  <c:pt idx="2">
                    <c:v>2023. II.</c:v>
                  </c:pt>
                  <c:pt idx="4">
                    <c:v>2023. III.</c:v>
                  </c:pt>
                  <c:pt idx="6">
                    <c:v>2023. IV.</c:v>
                  </c:pt>
                  <c:pt idx="8">
                    <c:v>2024. I.</c:v>
                  </c:pt>
                  <c:pt idx="10">
                    <c:v>2024. II.</c:v>
                  </c:pt>
                  <c:pt idx="12">
                    <c:v>2024. III.</c:v>
                  </c:pt>
                  <c:pt idx="14">
                    <c:v>2024. IV.</c:v>
                  </c:pt>
                </c:lvl>
              </c:multiLvlStrCache>
            </c:multiLvlStrRef>
          </c:cat>
          <c:val>
            <c:numRef>
              <c:f>'14. ábra'!$D$8:$S$8</c:f>
              <c:numCache>
                <c:formatCode>#,##0</c:formatCode>
                <c:ptCount val="16"/>
                <c:pt idx="0">
                  <c:v>61</c:v>
                </c:pt>
                <c:pt idx="1">
                  <c:v>396</c:v>
                </c:pt>
                <c:pt idx="2">
                  <c:v>61</c:v>
                </c:pt>
                <c:pt idx="3">
                  <c:v>365</c:v>
                </c:pt>
                <c:pt idx="4">
                  <c:v>51</c:v>
                </c:pt>
                <c:pt idx="5">
                  <c:v>366</c:v>
                </c:pt>
                <c:pt idx="6">
                  <c:v>148</c:v>
                </c:pt>
                <c:pt idx="7">
                  <c:v>1313</c:v>
                </c:pt>
                <c:pt idx="8">
                  <c:v>155</c:v>
                </c:pt>
                <c:pt idx="9">
                  <c:v>1372</c:v>
                </c:pt>
                <c:pt idx="10">
                  <c:v>173</c:v>
                </c:pt>
                <c:pt idx="11">
                  <c:v>1498</c:v>
                </c:pt>
                <c:pt idx="12">
                  <c:v>167</c:v>
                </c:pt>
                <c:pt idx="13">
                  <c:v>1512</c:v>
                </c:pt>
                <c:pt idx="14">
                  <c:v>32</c:v>
                </c:pt>
                <c:pt idx="15">
                  <c:v>217</c:v>
                </c:pt>
              </c:numCache>
            </c:numRef>
          </c:val>
          <c:extLst xmlns:c16r2="http://schemas.microsoft.com/office/drawing/2015/06/chart">
            <c:ext xmlns:c16="http://schemas.microsoft.com/office/drawing/2014/chart" uri="{C3380CC4-5D6E-409C-BE32-E72D297353CC}">
              <c16:uniqueId val="{00000023-C52A-B244-91F9-551B862B2566}"/>
            </c:ext>
          </c:extLst>
        </c:ser>
        <c:dLbls>
          <c:dLblPos val="ctr"/>
          <c:showLegendKey val="0"/>
          <c:showVal val="1"/>
          <c:showCatName val="0"/>
          <c:showSerName val="0"/>
          <c:showPercent val="0"/>
          <c:showBubbleSize val="0"/>
        </c:dLbls>
        <c:gapWidth val="150"/>
        <c:overlap val="100"/>
        <c:axId val="575948312"/>
        <c:axId val="575949880"/>
      </c:barChart>
      <c:catAx>
        <c:axId val="575948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575949880"/>
        <c:crosses val="autoZero"/>
        <c:auto val="1"/>
        <c:lblAlgn val="ctr"/>
        <c:lblOffset val="100"/>
        <c:noMultiLvlLbl val="0"/>
      </c:catAx>
      <c:valAx>
        <c:axId val="5759498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575948312"/>
        <c:crosses val="autoZero"/>
        <c:crossBetween val="between"/>
      </c:valAx>
      <c:spPr>
        <a:noFill/>
        <a:ln>
          <a:noFill/>
        </a:ln>
        <a:effectLst/>
      </c:spPr>
    </c:plotArea>
    <c:legend>
      <c:legendPos val="b"/>
      <c:layout>
        <c:manualLayout>
          <c:xMode val="edge"/>
          <c:yMode val="edge"/>
          <c:x val="3.1727044866576938E-2"/>
          <c:y val="0.8538662788599638"/>
          <c:w val="0.94605469096301553"/>
          <c:h val="0.11120946614028883"/>
        </c:manualLayout>
      </c:layout>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stacked"/>
        <c:varyColors val="0"/>
        <c:ser>
          <c:idx val="0"/>
          <c:order val="0"/>
          <c:tx>
            <c:strRef>
              <c:f>'3. ábra'!$A$3</c:f>
              <c:strCache>
                <c:ptCount val="1"/>
                <c:pt idx="0">
                  <c:v>Mgi hitel aránya/agrár összes (%)</c:v>
                </c:pt>
              </c:strCache>
            </c:strRef>
          </c:tx>
          <c:spPr>
            <a:solidFill>
              <a:schemeClr val="accent2"/>
            </a:solidFill>
          </c:spPr>
          <c:invertIfNegative val="0"/>
          <c:dLbls>
            <c:spPr>
              <a:noFill/>
              <a:ln>
                <a:noFill/>
              </a:ln>
              <a:effectLst/>
            </c:spPr>
            <c:txPr>
              <a:bodyPr rot="-5400000" vert="horz"/>
              <a:lstStyle/>
              <a:p>
                <a:pPr>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'3. ábra'!$B$2:$I$2</c:f>
              <c:strCache>
                <c:ptCount val="8"/>
                <c:pt idx="0">
                  <c:v>2023. I.</c:v>
                </c:pt>
                <c:pt idx="1">
                  <c:v>2023. II.</c:v>
                </c:pt>
                <c:pt idx="2">
                  <c:v>2023. III.</c:v>
                </c:pt>
                <c:pt idx="3">
                  <c:v>2023. IV.</c:v>
                </c:pt>
                <c:pt idx="4">
                  <c:v>2024. I.</c:v>
                </c:pt>
                <c:pt idx="5">
                  <c:v>2024. II.</c:v>
                </c:pt>
                <c:pt idx="6">
                  <c:v>2024. III.</c:v>
                </c:pt>
                <c:pt idx="7">
                  <c:v>2024. IV.</c:v>
                </c:pt>
              </c:strCache>
            </c:strRef>
          </c:cat>
          <c:val>
            <c:numRef>
              <c:f>'3. ábra'!$B$3:$I$3</c:f>
              <c:numCache>
                <c:formatCode>#,##0.00</c:formatCode>
                <c:ptCount val="8"/>
                <c:pt idx="0">
                  <c:v>56.91626621894892</c:v>
                </c:pt>
                <c:pt idx="1">
                  <c:v>58.794154097026507</c:v>
                </c:pt>
                <c:pt idx="2">
                  <c:v>58.424471727935902</c:v>
                </c:pt>
                <c:pt idx="3">
                  <c:v>58.515080947673603</c:v>
                </c:pt>
                <c:pt idx="4">
                  <c:v>58.915369104421757</c:v>
                </c:pt>
                <c:pt idx="5">
                  <c:v>60.305131639825568</c:v>
                </c:pt>
                <c:pt idx="6">
                  <c:v>59.531378220549705</c:v>
                </c:pt>
                <c:pt idx="7">
                  <c:v>58.097138272723967</c:v>
                </c:pt>
              </c:numCache>
            </c:numRef>
          </c:val>
          <c:extLst xmlns:c16r2="http://schemas.microsoft.com/office/drawing/2015/06/chart">
            <c:ext xmlns:c16="http://schemas.microsoft.com/office/drawing/2014/chart" uri="{C3380CC4-5D6E-409C-BE32-E72D297353CC}">
              <c16:uniqueId val="{00000000-CF04-45CF-9FBE-AE8BB1027527}"/>
            </c:ext>
          </c:extLst>
        </c:ser>
        <c:ser>
          <c:idx val="1"/>
          <c:order val="1"/>
          <c:tx>
            <c:strRef>
              <c:f>'3. ábra'!$A$4</c:f>
              <c:strCache>
                <c:ptCount val="1"/>
                <c:pt idx="0">
                  <c:v>Élip hitel aránya/agrár összes (%)</c:v>
                </c:pt>
              </c:strCache>
            </c:strRef>
          </c:tx>
          <c:spPr>
            <a:solidFill>
              <a:schemeClr val="accent3">
                <a:lumMod val="60000"/>
                <a:lumOff val="40000"/>
              </a:schemeClr>
            </a:solidFill>
          </c:spPr>
          <c:invertIfNegative val="0"/>
          <c:dLbls>
            <c:spPr>
              <a:noFill/>
              <a:ln>
                <a:noFill/>
              </a:ln>
              <a:effectLst/>
            </c:spPr>
            <c:txPr>
              <a:bodyPr rot="-5400000" vert="horz"/>
              <a:lstStyle/>
              <a:p>
                <a:pPr>
                  <a:defRPr b="1"/>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'3. ábra'!$B$2:$I$2</c:f>
              <c:strCache>
                <c:ptCount val="8"/>
                <c:pt idx="0">
                  <c:v>2023. I.</c:v>
                </c:pt>
                <c:pt idx="1">
                  <c:v>2023. II.</c:v>
                </c:pt>
                <c:pt idx="2">
                  <c:v>2023. III.</c:v>
                </c:pt>
                <c:pt idx="3">
                  <c:v>2023. IV.</c:v>
                </c:pt>
                <c:pt idx="4">
                  <c:v>2024. I.</c:v>
                </c:pt>
                <c:pt idx="5">
                  <c:v>2024. II.</c:v>
                </c:pt>
                <c:pt idx="6">
                  <c:v>2024. III.</c:v>
                </c:pt>
                <c:pt idx="7">
                  <c:v>2024. IV.</c:v>
                </c:pt>
              </c:strCache>
            </c:strRef>
          </c:cat>
          <c:val>
            <c:numRef>
              <c:f>'3. ábra'!$B$4:$I$4</c:f>
              <c:numCache>
                <c:formatCode>0.00</c:formatCode>
                <c:ptCount val="8"/>
                <c:pt idx="0">
                  <c:v>43.08373378105108</c:v>
                </c:pt>
                <c:pt idx="1">
                  <c:v>41.205845902973486</c:v>
                </c:pt>
                <c:pt idx="2">
                  <c:v>41.575528272064105</c:v>
                </c:pt>
                <c:pt idx="3">
                  <c:v>41.484919052326404</c:v>
                </c:pt>
                <c:pt idx="4">
                  <c:v>41.084630895578236</c:v>
                </c:pt>
                <c:pt idx="5">
                  <c:v>39.694868360174432</c:v>
                </c:pt>
                <c:pt idx="6">
                  <c:v>40.468621779450302</c:v>
                </c:pt>
                <c:pt idx="7">
                  <c:v>41.902861727276026</c:v>
                </c:pt>
              </c:numCache>
            </c:numRef>
          </c:val>
          <c:extLst xmlns:c16r2="http://schemas.microsoft.com/office/drawing/2015/06/chart">
            <c:ext xmlns:c16="http://schemas.microsoft.com/office/drawing/2014/chart" uri="{C3380CC4-5D6E-409C-BE32-E72D297353CC}">
              <c16:uniqueId val="{00000001-CF04-45CF-9FBE-AE8BB1027527}"/>
            </c:ext>
          </c:extLst>
        </c:ser>
        <c:dLbls>
          <c:dLblPos val="ctr"/>
          <c:showLegendKey val="0"/>
          <c:showVal val="1"/>
          <c:showCatName val="0"/>
          <c:showSerName val="0"/>
          <c:showPercent val="0"/>
          <c:showBubbleSize val="0"/>
        </c:dLbls>
        <c:gapWidth val="150"/>
        <c:overlap val="100"/>
        <c:axId val="520922160"/>
        <c:axId val="520922552"/>
      </c:barChart>
      <c:catAx>
        <c:axId val="520922160"/>
        <c:scaling>
          <c:orientation val="minMax"/>
        </c:scaling>
        <c:delete val="0"/>
        <c:axPos val="b"/>
        <c:numFmt formatCode="General" sourceLinked="0"/>
        <c:majorTickMark val="out"/>
        <c:minorTickMark val="none"/>
        <c:tickLblPos val="nextTo"/>
        <c:crossAx val="520922552"/>
        <c:crosses val="autoZero"/>
        <c:auto val="1"/>
        <c:lblAlgn val="ctr"/>
        <c:lblOffset val="100"/>
        <c:noMultiLvlLbl val="0"/>
      </c:catAx>
      <c:valAx>
        <c:axId val="520922552"/>
        <c:scaling>
          <c:orientation val="minMax"/>
          <c:max val="100"/>
        </c:scaling>
        <c:delete val="0"/>
        <c:axPos val="l"/>
        <c:majorGridlines/>
        <c:numFmt formatCode="#,##0.00" sourceLinked="1"/>
        <c:majorTickMark val="out"/>
        <c:minorTickMark val="none"/>
        <c:tickLblPos val="nextTo"/>
        <c:crossAx val="520922160"/>
        <c:crosses val="autoZero"/>
        <c:crossBetween val="between"/>
      </c:valAx>
    </c:plotArea>
    <c:legend>
      <c:legendPos val="b"/>
      <c:overlay val="0"/>
    </c:legend>
    <c:plotVisOnly val="1"/>
    <c:dispBlanksAs val="gap"/>
    <c:showDLblsOverMax val="0"/>
  </c:chart>
  <c:spPr>
    <a:ln>
      <a:noFill/>
    </a:ln>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percentStacked"/>
        <c:varyColors val="0"/>
        <c:ser>
          <c:idx val="0"/>
          <c:order val="0"/>
          <c:tx>
            <c:strRef>
              <c:f>'4. ábra'!$A$8</c:f>
              <c:strCache>
                <c:ptCount val="1"/>
                <c:pt idx="0">
                  <c:v>Egyéni gazdaságok aránya (milliárd forint)</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ábra'!$B$7:$I$7</c:f>
              <c:strCache>
                <c:ptCount val="8"/>
                <c:pt idx="0">
                  <c:v>2023. I.</c:v>
                </c:pt>
                <c:pt idx="1">
                  <c:v>2023. II.</c:v>
                </c:pt>
                <c:pt idx="2">
                  <c:v>2023. III.</c:v>
                </c:pt>
                <c:pt idx="3">
                  <c:v>2023. IV.</c:v>
                </c:pt>
                <c:pt idx="4">
                  <c:v>2024. I.</c:v>
                </c:pt>
                <c:pt idx="5">
                  <c:v>2024. II.</c:v>
                </c:pt>
                <c:pt idx="6">
                  <c:v>2024. III.</c:v>
                </c:pt>
                <c:pt idx="7">
                  <c:v>2024. IV.</c:v>
                </c:pt>
              </c:strCache>
            </c:strRef>
          </c:cat>
          <c:val>
            <c:numRef>
              <c:f>'4. ábra'!$B$8:$I$8</c:f>
              <c:numCache>
                <c:formatCode>#\ ##0.0</c:formatCode>
                <c:ptCount val="8"/>
                <c:pt idx="0">
                  <c:v>371.12160113499999</c:v>
                </c:pt>
                <c:pt idx="1">
                  <c:v>386.16465134699996</c:v>
                </c:pt>
                <c:pt idx="2">
                  <c:v>384.51161806900001</c:v>
                </c:pt>
                <c:pt idx="3">
                  <c:v>373.60313599900002</c:v>
                </c:pt>
                <c:pt idx="4">
                  <c:v>379.51191901599998</c:v>
                </c:pt>
                <c:pt idx="5">
                  <c:v>387.412602564</c:v>
                </c:pt>
                <c:pt idx="6">
                  <c:v>383.575565617</c:v>
                </c:pt>
                <c:pt idx="7">
                  <c:v>375.78039143000001</c:v>
                </c:pt>
              </c:numCache>
            </c:numRef>
          </c:val>
          <c:extLst xmlns:c16r2="http://schemas.microsoft.com/office/drawing/2015/06/chart">
            <c:ext xmlns:c16="http://schemas.microsoft.com/office/drawing/2014/chart" uri="{C3380CC4-5D6E-409C-BE32-E72D297353CC}">
              <c16:uniqueId val="{00000000-F1DA-1148-A8B9-E628E5946725}"/>
            </c:ext>
          </c:extLst>
        </c:ser>
        <c:ser>
          <c:idx val="1"/>
          <c:order val="1"/>
          <c:tx>
            <c:strRef>
              <c:f>'4. ábra'!$A$9</c:f>
              <c:strCache>
                <c:ptCount val="1"/>
                <c:pt idx="0">
                  <c:v>Gazdasági szervezetek aránya (milliárd forint)</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'4. ábra'!$B$7:$I$7</c:f>
              <c:strCache>
                <c:ptCount val="8"/>
                <c:pt idx="0">
                  <c:v>2023. I.</c:v>
                </c:pt>
                <c:pt idx="1">
                  <c:v>2023. II.</c:v>
                </c:pt>
                <c:pt idx="2">
                  <c:v>2023. III.</c:v>
                </c:pt>
                <c:pt idx="3">
                  <c:v>2023. IV.</c:v>
                </c:pt>
                <c:pt idx="4">
                  <c:v>2024. I.</c:v>
                </c:pt>
                <c:pt idx="5">
                  <c:v>2024. II.</c:v>
                </c:pt>
                <c:pt idx="6">
                  <c:v>2024. III.</c:v>
                </c:pt>
                <c:pt idx="7">
                  <c:v>2024. IV.</c:v>
                </c:pt>
              </c:strCache>
            </c:strRef>
          </c:cat>
          <c:val>
            <c:numRef>
              <c:f>'4. ábra'!$B$9:$I$9</c:f>
              <c:numCache>
                <c:formatCode>#\ ##0.0</c:formatCode>
                <c:ptCount val="8"/>
                <c:pt idx="0">
                  <c:v>612.68363637200002</c:v>
                </c:pt>
                <c:pt idx="1">
                  <c:v>657.76245455000003</c:v>
                </c:pt>
                <c:pt idx="2">
                  <c:v>681.23498924099999</c:v>
                </c:pt>
                <c:pt idx="3">
                  <c:v>683.59772875099998</c:v>
                </c:pt>
                <c:pt idx="4">
                  <c:v>685.27554806800003</c:v>
                </c:pt>
                <c:pt idx="5">
                  <c:v>684.85766374399998</c:v>
                </c:pt>
                <c:pt idx="6">
                  <c:v>677.21229860400001</c:v>
                </c:pt>
                <c:pt idx="7">
                  <c:v>672.39748141799998</c:v>
                </c:pt>
              </c:numCache>
            </c:numRef>
          </c:val>
          <c:extLst xmlns:c16r2="http://schemas.microsoft.com/office/drawing/2015/06/chart">
            <c:ext xmlns:c16="http://schemas.microsoft.com/office/drawing/2014/chart" uri="{C3380CC4-5D6E-409C-BE32-E72D297353CC}">
              <c16:uniqueId val="{00000001-F1DA-1148-A8B9-E628E5946725}"/>
            </c:ext>
          </c:extLst>
        </c:ser>
        <c:dLbls>
          <c:dLblPos val="ctr"/>
          <c:showLegendKey val="0"/>
          <c:showVal val="1"/>
          <c:showCatName val="0"/>
          <c:showSerName val="0"/>
          <c:showPercent val="0"/>
          <c:showBubbleSize val="0"/>
        </c:dLbls>
        <c:gapWidth val="150"/>
        <c:overlap val="100"/>
        <c:axId val="519246120"/>
        <c:axId val="519243768"/>
      </c:barChart>
      <c:catAx>
        <c:axId val="5192461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519243768"/>
        <c:crosses val="autoZero"/>
        <c:auto val="1"/>
        <c:lblAlgn val="ctr"/>
        <c:lblOffset val="100"/>
        <c:noMultiLvlLbl val="0"/>
      </c:catAx>
      <c:valAx>
        <c:axId val="51924376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5192461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legend>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5.8565420853133633E-2"/>
          <c:y val="4.2573771935625532E-2"/>
          <c:w val="0.923032237030597"/>
          <c:h val="0.62548428808394563"/>
        </c:manualLayout>
      </c:layout>
      <c:barChart>
        <c:barDir val="col"/>
        <c:grouping val="stacked"/>
        <c:varyColors val="0"/>
        <c:ser>
          <c:idx val="0"/>
          <c:order val="0"/>
          <c:tx>
            <c:strRef>
              <c:f>'5.ábra'!$A$24</c:f>
              <c:strCache>
                <c:ptCount val="1"/>
                <c:pt idx="0">
                  <c:v>Mg. Beruházási hitelei (milliárd Ft)</c:v>
                </c:pt>
              </c:strCache>
            </c:strRef>
          </c:tx>
          <c:invertIfNegative val="0"/>
          <c:dLbls>
            <c:dLbl>
              <c:idx val="0"/>
              <c:layout>
                <c:manualLayout>
                  <c:x val="-3.8095234286191029E-3"/>
                  <c:y val="2.069889154250783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C40C-C344-8BD1-A2C050050748}"/>
                </c:ext>
                <c:ext xmlns:c15="http://schemas.microsoft.com/office/drawing/2012/chart" uri="{CE6537A1-D6FC-4f65-9D91-7224C49458BB}"/>
              </c:extLst>
            </c:dLbl>
            <c:dLbl>
              <c:idx val="1"/>
              <c:layout>
                <c:manualLayout>
                  <c:x val="0"/>
                  <c:y val="-1.267785257767588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C40C-C344-8BD1-A2C050050748}"/>
                </c:ext>
                <c:ext xmlns:c15="http://schemas.microsoft.com/office/drawing/2012/chart" uri="{CE6537A1-D6FC-4f65-9D91-7224C49458BB}"/>
              </c:extLst>
            </c:dLbl>
            <c:dLbl>
              <c:idx val="2"/>
              <c:layout>
                <c:manualLayout>
                  <c:x val="0"/>
                  <c:y val="-5.8374454101611847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C40C-C344-8BD1-A2C050050748}"/>
                </c:ext>
                <c:ext xmlns:c15="http://schemas.microsoft.com/office/drawing/2012/chart" uri="{CE6537A1-D6FC-4f65-9D91-7224C49458BB}"/>
              </c:extLst>
            </c:dLbl>
            <c:dLbl>
              <c:idx val="3"/>
              <c:layout>
                <c:manualLayout>
                  <c:x val="0"/>
                  <c:y val="-6.4879434394176138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C40C-C344-8BD1-A2C050050748}"/>
                </c:ext>
                <c:ext xmlns:c15="http://schemas.microsoft.com/office/drawing/2012/chart" uri="{CE6537A1-D6FC-4f65-9D91-7224C49458BB}"/>
              </c:extLst>
            </c:dLbl>
            <c:dLbl>
              <c:idx val="4"/>
              <c:layout>
                <c:manualLayout>
                  <c:x val="0"/>
                  <c:y val="-7.5685666961824612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C40C-C344-8BD1-A2C050050748}"/>
                </c:ext>
                <c:ext xmlns:c15="http://schemas.microsoft.com/office/drawing/2012/chart" uri="{CE6537A1-D6FC-4f65-9D91-7224C49458BB}"/>
              </c:extLst>
            </c:dLbl>
            <c:spPr>
              <a:noFill/>
              <a:ln>
                <a:noFill/>
              </a:ln>
              <a:effectLst/>
            </c:spPr>
            <c:txPr>
              <a:bodyPr rot="0" vert="horz"/>
              <a:lstStyle/>
              <a:p>
                <a:pPr>
                  <a:defRPr sz="650" b="1"/>
                </a:pPr>
                <a:endParaRPr lang="hu-H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'5.ábra'!$B$23:$I$23</c:f>
              <c:strCache>
                <c:ptCount val="8"/>
                <c:pt idx="0">
                  <c:v>2023. I.</c:v>
                </c:pt>
                <c:pt idx="1">
                  <c:v>2023. II.</c:v>
                </c:pt>
                <c:pt idx="2">
                  <c:v>2023. III.</c:v>
                </c:pt>
                <c:pt idx="3">
                  <c:v>2023. IV.</c:v>
                </c:pt>
                <c:pt idx="4">
                  <c:v>2024. I</c:v>
                </c:pt>
                <c:pt idx="5">
                  <c:v>2024. II.</c:v>
                </c:pt>
                <c:pt idx="6">
                  <c:v>2024. III.</c:v>
                </c:pt>
                <c:pt idx="7">
                  <c:v>2024. IV.</c:v>
                </c:pt>
              </c:strCache>
            </c:strRef>
          </c:cat>
          <c:val>
            <c:numRef>
              <c:f>'5.ábra'!$B$24:$I$24</c:f>
              <c:numCache>
                <c:formatCode>#\ ##0.0</c:formatCode>
                <c:ptCount val="8"/>
                <c:pt idx="0">
                  <c:v>563.45143002299994</c:v>
                </c:pt>
                <c:pt idx="1">
                  <c:v>583.69916005499999</c:v>
                </c:pt>
                <c:pt idx="2">
                  <c:v>600.58064091199992</c:v>
                </c:pt>
                <c:pt idx="3">
                  <c:v>613.85870174199999</c:v>
                </c:pt>
                <c:pt idx="4">
                  <c:v>618.004762691</c:v>
                </c:pt>
                <c:pt idx="5">
                  <c:v>619.59482684</c:v>
                </c:pt>
                <c:pt idx="6">
                  <c:v>609.87323385499997</c:v>
                </c:pt>
                <c:pt idx="7">
                  <c:v>603.57952787800002</c:v>
                </c:pt>
              </c:numCache>
            </c:numRef>
          </c:val>
          <c:extLst xmlns:c16r2="http://schemas.microsoft.com/office/drawing/2015/06/chart">
            <c:ext xmlns:c16="http://schemas.microsoft.com/office/drawing/2014/chart" uri="{C3380CC4-5D6E-409C-BE32-E72D297353CC}">
              <c16:uniqueId val="{00000000-14DA-4D4A-A99C-8F09A132619B}"/>
            </c:ext>
          </c:extLst>
        </c:ser>
        <c:ser>
          <c:idx val="1"/>
          <c:order val="1"/>
          <c:tx>
            <c:strRef>
              <c:f>'5.ábra'!$A$25</c:f>
              <c:strCache>
                <c:ptCount val="1"/>
                <c:pt idx="0">
                  <c:v>Mg. Hosszú lejáratú forgóeszköz hitelei (milliárd Ft)</c:v>
                </c:pt>
              </c:strCache>
            </c:strRef>
          </c:tx>
          <c:invertIfNegative val="0"/>
          <c:dLbls>
            <c:dLbl>
              <c:idx val="0"/>
              <c:layout>
                <c:manualLayout>
                  <c:x val="2.5396822857460533E-3"/>
                  <c:y val="6.6273358742582368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C40C-C344-8BD1-A2C050050748}"/>
                </c:ext>
                <c:ext xmlns:c15="http://schemas.microsoft.com/office/drawing/2012/chart" uri="{CE6537A1-D6FC-4f65-9D91-7224C49458BB}"/>
              </c:extLst>
            </c:dLbl>
            <c:dLbl>
              <c:idx val="1"/>
              <c:layout>
                <c:manualLayout>
                  <c:x val="0"/>
                  <c:y val="1.021857176298678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C40C-C344-8BD1-A2C050050748}"/>
                </c:ext>
                <c:ext xmlns:c15="http://schemas.microsoft.com/office/drawing/2012/chart" uri="{CE6537A1-D6FC-4f65-9D91-7224C49458BB}"/>
              </c:extLst>
            </c:dLbl>
            <c:dLbl>
              <c:idx val="2"/>
              <c:layout>
                <c:manualLayout>
                  <c:x val="0"/>
                  <c:y val="-5.4064351513204443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C40C-C344-8BD1-A2C050050748}"/>
                </c:ext>
                <c:ext xmlns:c15="http://schemas.microsoft.com/office/drawing/2012/chart" uri="{CE6537A1-D6FC-4f65-9D91-7224C49458BB}"/>
              </c:extLst>
            </c:dLbl>
            <c:dLbl>
              <c:idx val="3"/>
              <c:layout>
                <c:manualLayout>
                  <c:x val="-9.3120608073477854E-17"/>
                  <c:y val="-1.1025277822398624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C40C-C344-8BD1-A2C050050748}"/>
                </c:ext>
                <c:ext xmlns:c15="http://schemas.microsoft.com/office/drawing/2012/chart" uri="{CE6537A1-D6FC-4f65-9D91-7224C49458BB}"/>
              </c:extLst>
            </c:dLbl>
            <c:dLbl>
              <c:idx val="4"/>
              <c:layout>
                <c:manualLayout>
                  <c:x val="0"/>
                  <c:y val="7.31456270380607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C40C-C344-8BD1-A2C050050748}"/>
                </c:ext>
                <c:ext xmlns:c15="http://schemas.microsoft.com/office/drawing/2012/chart" uri="{CE6537A1-D6FC-4f65-9D91-7224C49458BB}"/>
              </c:extLst>
            </c:dLbl>
            <c:spPr>
              <a:noFill/>
              <a:ln>
                <a:noFill/>
              </a:ln>
              <a:effectLst/>
            </c:spPr>
            <c:txPr>
              <a:bodyPr rot="0" vert="horz"/>
              <a:lstStyle/>
              <a:p>
                <a:pPr>
                  <a:defRPr sz="650" b="1"/>
                </a:pPr>
                <a:endParaRPr lang="hu-H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'5.ábra'!$B$23:$I$23</c:f>
              <c:strCache>
                <c:ptCount val="8"/>
                <c:pt idx="0">
                  <c:v>2023. I.</c:v>
                </c:pt>
                <c:pt idx="1">
                  <c:v>2023. II.</c:v>
                </c:pt>
                <c:pt idx="2">
                  <c:v>2023. III.</c:v>
                </c:pt>
                <c:pt idx="3">
                  <c:v>2023. IV.</c:v>
                </c:pt>
                <c:pt idx="4">
                  <c:v>2024. I</c:v>
                </c:pt>
                <c:pt idx="5">
                  <c:v>2024. II.</c:v>
                </c:pt>
                <c:pt idx="6">
                  <c:v>2024. III.</c:v>
                </c:pt>
                <c:pt idx="7">
                  <c:v>2024. IV.</c:v>
                </c:pt>
              </c:strCache>
            </c:strRef>
          </c:cat>
          <c:val>
            <c:numRef>
              <c:f>'5.ábra'!$B$25:$I$25</c:f>
              <c:numCache>
                <c:formatCode>#\ ##0.0</c:formatCode>
                <c:ptCount val="8"/>
                <c:pt idx="0">
                  <c:v>164.60258556899998</c:v>
                </c:pt>
                <c:pt idx="1">
                  <c:v>183.16865609800001</c:v>
                </c:pt>
                <c:pt idx="2">
                  <c:v>189.72523535900001</c:v>
                </c:pt>
                <c:pt idx="3">
                  <c:v>194.77468000900001</c:v>
                </c:pt>
                <c:pt idx="4">
                  <c:v>183.52932768099998</c:v>
                </c:pt>
                <c:pt idx="5">
                  <c:v>174.98022640099998</c:v>
                </c:pt>
                <c:pt idx="6">
                  <c:v>131.01165902700001</c:v>
                </c:pt>
                <c:pt idx="7">
                  <c:v>155.67992133499999</c:v>
                </c:pt>
              </c:numCache>
            </c:numRef>
          </c:val>
          <c:extLst xmlns:c16r2="http://schemas.microsoft.com/office/drawing/2015/06/chart">
            <c:ext xmlns:c16="http://schemas.microsoft.com/office/drawing/2014/chart" uri="{C3380CC4-5D6E-409C-BE32-E72D297353CC}">
              <c16:uniqueId val="{00000001-14DA-4D4A-A99C-8F09A132619B}"/>
            </c:ext>
          </c:extLst>
        </c:ser>
        <c:ser>
          <c:idx val="2"/>
          <c:order val="2"/>
          <c:tx>
            <c:strRef>
              <c:f>'5.ábra'!$A$26</c:f>
              <c:strCache>
                <c:ptCount val="1"/>
                <c:pt idx="0">
                  <c:v>Mg. Forint folyószámla- és egyéb éven belüli hitelei (milliárd Ft)</c:v>
                </c:pt>
              </c:strCache>
            </c:strRef>
          </c:tx>
          <c:invertIfNegative val="0"/>
          <c:dLbls>
            <c:dLbl>
              <c:idx val="0"/>
              <c:layout>
                <c:manualLayout>
                  <c:x val="-1.6728907213707565E-3"/>
                  <c:y val="-9.7570279231810504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4DA-4D4A-A99C-8F09A132619B}"/>
                </c:ext>
                <c:ext xmlns:c15="http://schemas.microsoft.com/office/drawing/2012/chart" uri="{CE6537A1-D6FC-4f65-9D91-7224C49458BB}"/>
              </c:extLst>
            </c:dLbl>
            <c:dLbl>
              <c:idx val="1"/>
              <c:layout>
                <c:manualLayout>
                  <c:x val="0"/>
                  <c:y val="1.4934903732929405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4DA-4D4A-A99C-8F09A132619B}"/>
                </c:ext>
                <c:ext xmlns:c15="http://schemas.microsoft.com/office/drawing/2012/chart" uri="{CE6537A1-D6FC-4f65-9D91-7224C49458BB}"/>
              </c:extLst>
            </c:dLbl>
            <c:dLbl>
              <c:idx val="2"/>
              <c:layout>
                <c:manualLayout>
                  <c:x val="0"/>
                  <c:y val="-4.3426274898697098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4DA-4D4A-A99C-8F09A132619B}"/>
                </c:ext>
                <c:ext xmlns:c15="http://schemas.microsoft.com/office/drawing/2012/chart" uri="{CE6537A1-D6FC-4f65-9D91-7224C49458BB}"/>
              </c:extLst>
            </c:dLbl>
            <c:dLbl>
              <c:idx val="3"/>
              <c:layout>
                <c:manualLayout>
                  <c:x val="0"/>
                  <c:y val="-7.751325666306901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4DA-4D4A-A99C-8F09A132619B}"/>
                </c:ext>
                <c:ext xmlns:c15="http://schemas.microsoft.com/office/drawing/2012/chart" uri="{CE6537A1-D6FC-4f65-9D91-7224C49458BB}"/>
              </c:extLst>
            </c:dLbl>
            <c:dLbl>
              <c:idx val="4"/>
              <c:layout>
                <c:manualLayout>
                  <c:x val="-2.5396822857458668E-3"/>
                  <c:y val="-5.4042225729896663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4DA-4D4A-A99C-8F09A132619B}"/>
                </c:ext>
                <c:ext xmlns:c15="http://schemas.microsoft.com/office/drawing/2012/chart" uri="{CE6537A1-D6FC-4f65-9D91-7224C49458BB}"/>
              </c:extLst>
            </c:dLbl>
            <c:dLbl>
              <c:idx val="5"/>
              <c:layout>
                <c:manualLayout>
                  <c:x val="0"/>
                  <c:y val="8.8926461351578594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14DA-4D4A-A99C-8F09A132619B}"/>
                </c:ext>
                <c:ext xmlns:c15="http://schemas.microsoft.com/office/drawing/2012/chart" uri="{CE6537A1-D6FC-4f65-9D91-7224C49458BB}"/>
              </c:extLst>
            </c:dLbl>
            <c:dLbl>
              <c:idx val="6"/>
              <c:layout>
                <c:manualLayout>
                  <c:x val="0"/>
                  <c:y val="6.924866282700207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14DA-4D4A-A99C-8F09A132619B}"/>
                </c:ext>
                <c:ext xmlns:c15="http://schemas.microsoft.com/office/drawing/2012/chart" uri="{CE6537A1-D6FC-4f65-9D91-7224C49458BB}"/>
              </c:extLst>
            </c:dLbl>
            <c:dLbl>
              <c:idx val="7"/>
              <c:layout>
                <c:manualLayout>
                  <c:x val="0"/>
                  <c:y val="1.1648513133109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14DA-4D4A-A99C-8F09A132619B}"/>
                </c:ext>
                <c:ext xmlns:c15="http://schemas.microsoft.com/office/drawing/2012/chart" uri="{CE6537A1-D6FC-4f65-9D91-7224C49458BB}"/>
              </c:extLst>
            </c:dLbl>
            <c:dLbl>
              <c:idx val="8"/>
              <c:layout>
                <c:manualLayout>
                  <c:x val="0"/>
                  <c:y val="7.8229686870974046E-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14DA-4D4A-A99C-8F09A132619B}"/>
                </c:ext>
                <c:ext xmlns:c15="http://schemas.microsoft.com/office/drawing/2012/chart" uri="{CE6537A1-D6FC-4f65-9D91-7224C49458BB}"/>
              </c:extLst>
            </c:dLbl>
            <c:dLbl>
              <c:idx val="9"/>
              <c:layout>
                <c:manualLayout>
                  <c:x val="0"/>
                  <c:y val="4.6498970092611258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B-14DA-4D4A-A99C-8F09A132619B}"/>
                </c:ext>
                <c:ext xmlns:c15="http://schemas.microsoft.com/office/drawing/2012/chart" uri="{CE6537A1-D6FC-4f65-9D91-7224C49458BB}"/>
              </c:extLst>
            </c:dLbl>
            <c:dLbl>
              <c:idx val="10"/>
              <c:layout>
                <c:manualLayout>
                  <c:x val="0"/>
                  <c:y val="1.167502650575385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C-14DA-4D4A-A99C-8F09A132619B}"/>
                </c:ext>
                <c:ext xmlns:c15="http://schemas.microsoft.com/office/drawing/2012/chart" uri="{CE6537A1-D6FC-4f65-9D91-7224C49458BB}"/>
              </c:extLst>
            </c:dLbl>
            <c:dLbl>
              <c:idx val="11"/>
              <c:layout>
                <c:manualLayout>
                  <c:x val="-3.3458803847762441E-3"/>
                  <c:y val="1.493373332971694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D-14DA-4D4A-A99C-8F09A132619B}"/>
                </c:ext>
                <c:ext xmlns:c15="http://schemas.microsoft.com/office/drawing/2012/chart" uri="{CE6537A1-D6FC-4f65-9D91-7224C49458BB}"/>
              </c:extLst>
            </c:dLbl>
            <c:dLbl>
              <c:idx val="12"/>
              <c:layout>
                <c:manualLayout>
                  <c:x val="-3.3458803847762441E-3"/>
                  <c:y val="-3.742956813982447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E-14DA-4D4A-A99C-8F09A132619B}"/>
                </c:ext>
                <c:ext xmlns:c15="http://schemas.microsoft.com/office/drawing/2012/chart" uri="{CE6537A1-D6FC-4f65-9D91-7224C49458BB}"/>
              </c:extLst>
            </c:dLbl>
            <c:dLbl>
              <c:idx val="13"/>
              <c:layout>
                <c:manualLayout>
                  <c:x val="6.1340431777662204E-17"/>
                  <c:y val="4.6898194439322924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F-14DA-4D4A-A99C-8F09A132619B}"/>
                </c:ext>
                <c:ext xmlns:c15="http://schemas.microsoft.com/office/drawing/2012/chart" uri="{CE6537A1-D6FC-4f65-9D91-7224C49458BB}"/>
              </c:extLst>
            </c:dLbl>
            <c:dLbl>
              <c:idx val="15"/>
              <c:layout>
                <c:manualLayout>
                  <c:x val="0"/>
                  <c:y val="6.5984775229074016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0-14DA-4D4A-A99C-8F09A132619B}"/>
                </c:ext>
                <c:ext xmlns:c15="http://schemas.microsoft.com/office/drawing/2012/chart" uri="{CE6537A1-D6FC-4f65-9D91-7224C49458BB}"/>
              </c:extLst>
            </c:dLbl>
            <c:dLbl>
              <c:idx val="16"/>
              <c:layout>
                <c:manualLayout>
                  <c:x val="0"/>
                  <c:y val="6.5338702240501888E-4"/>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1-14DA-4D4A-A99C-8F09A132619B}"/>
                </c:ext>
                <c:ext xmlns:c15="http://schemas.microsoft.com/office/drawing/2012/chart" uri="{CE6537A1-D6FC-4f65-9D91-7224C49458BB}"/>
              </c:extLst>
            </c:dLbl>
            <c:spPr>
              <a:noFill/>
              <a:ln>
                <a:noFill/>
              </a:ln>
              <a:effectLst/>
            </c:spPr>
            <c:txPr>
              <a:bodyPr rot="0" vert="horz"/>
              <a:lstStyle/>
              <a:p>
                <a:pPr>
                  <a:defRPr sz="650" b="1"/>
                </a:pPr>
                <a:endParaRPr lang="hu-H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'5.ábra'!$B$23:$I$23</c:f>
              <c:strCache>
                <c:ptCount val="8"/>
                <c:pt idx="0">
                  <c:v>2023. I.</c:v>
                </c:pt>
                <c:pt idx="1">
                  <c:v>2023. II.</c:v>
                </c:pt>
                <c:pt idx="2">
                  <c:v>2023. III.</c:v>
                </c:pt>
                <c:pt idx="3">
                  <c:v>2023. IV.</c:v>
                </c:pt>
                <c:pt idx="4">
                  <c:v>2024. I</c:v>
                </c:pt>
                <c:pt idx="5">
                  <c:v>2024. II.</c:v>
                </c:pt>
                <c:pt idx="6">
                  <c:v>2024. III.</c:v>
                </c:pt>
                <c:pt idx="7">
                  <c:v>2024. IV.</c:v>
                </c:pt>
              </c:strCache>
            </c:strRef>
          </c:cat>
          <c:val>
            <c:numRef>
              <c:f>'5.ábra'!$B$26:$I$26</c:f>
              <c:numCache>
                <c:formatCode>#\ ##0.0</c:formatCode>
                <c:ptCount val="8"/>
                <c:pt idx="0">
                  <c:v>178.08352282400003</c:v>
                </c:pt>
                <c:pt idx="1">
                  <c:v>192.516390538</c:v>
                </c:pt>
                <c:pt idx="2">
                  <c:v>196.44053273400002</c:v>
                </c:pt>
                <c:pt idx="3">
                  <c:v>182.443345343</c:v>
                </c:pt>
                <c:pt idx="4">
                  <c:v>197.51235759799999</c:v>
                </c:pt>
                <c:pt idx="5">
                  <c:v>210.791940727</c:v>
                </c:pt>
                <c:pt idx="6">
                  <c:v>225.64223640999998</c:v>
                </c:pt>
                <c:pt idx="7">
                  <c:v>232.11123514400001</c:v>
                </c:pt>
              </c:numCache>
            </c:numRef>
          </c:val>
          <c:extLst xmlns:c16r2="http://schemas.microsoft.com/office/drawing/2015/06/chart">
            <c:ext xmlns:c16="http://schemas.microsoft.com/office/drawing/2014/chart" uri="{C3380CC4-5D6E-409C-BE32-E72D297353CC}">
              <c16:uniqueId val="{00000012-14DA-4D4A-A99C-8F09A132619B}"/>
            </c:ext>
          </c:extLst>
        </c:ser>
        <c:ser>
          <c:idx val="3"/>
          <c:order val="3"/>
          <c:tx>
            <c:strRef>
              <c:f>'5.ábra'!$A$27</c:f>
              <c:strCache>
                <c:ptCount val="1"/>
                <c:pt idx="0">
                  <c:v>Mg. Egyéb hitelei (milliárd Ft)</c:v>
                </c:pt>
              </c:strCache>
            </c:strRef>
          </c:tx>
          <c:invertIfNegative val="0"/>
          <c:dLbls>
            <c:dLbl>
              <c:idx val="0"/>
              <c:layout>
                <c:manualLayout>
                  <c:x val="1.6729259198820744E-3"/>
                  <c:y val="-5.381107736962475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3-14DA-4D4A-A99C-8F09A132619B}"/>
                </c:ext>
                <c:ext xmlns:c15="http://schemas.microsoft.com/office/drawing/2012/chart" uri="{CE6537A1-D6FC-4f65-9D91-7224C49458BB}"/>
              </c:extLst>
            </c:dLbl>
            <c:dLbl>
              <c:idx val="1"/>
              <c:layout>
                <c:manualLayout>
                  <c:x val="0"/>
                  <c:y val="-5.137162046831043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4-14DA-4D4A-A99C-8F09A132619B}"/>
                </c:ext>
                <c:ext xmlns:c15="http://schemas.microsoft.com/office/drawing/2012/chart" uri="{CE6537A1-D6FC-4f65-9D91-7224C49458BB}"/>
              </c:extLst>
            </c:dLbl>
            <c:dLbl>
              <c:idx val="2"/>
              <c:layout>
                <c:manualLayout>
                  <c:x val="-4.501686434110203E-17"/>
                  <c:y val="-4.87658998339852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5-14DA-4D4A-A99C-8F09A132619B}"/>
                </c:ext>
                <c:ext xmlns:c15="http://schemas.microsoft.com/office/drawing/2012/chart" uri="{CE6537A1-D6FC-4f65-9D91-7224C49458BB}"/>
              </c:extLst>
            </c:dLbl>
            <c:dLbl>
              <c:idx val="3"/>
              <c:layout>
                <c:manualLayout>
                  <c:x val="1.6729259198820744E-3"/>
                  <c:y val="-5.10963585476019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6-14DA-4D4A-A99C-8F09A132619B}"/>
                </c:ext>
                <c:ext xmlns:c15="http://schemas.microsoft.com/office/drawing/2012/chart" uri="{CE6537A1-D6FC-4f65-9D91-7224C49458BB}"/>
              </c:extLst>
            </c:dLbl>
            <c:dLbl>
              <c:idx val="4"/>
              <c:layout>
                <c:manualLayout>
                  <c:x val="0"/>
                  <c:y val="-4.73082565573890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7-14DA-4D4A-A99C-8F09A132619B}"/>
                </c:ext>
                <c:ext xmlns:c15="http://schemas.microsoft.com/office/drawing/2012/chart" uri="{CE6537A1-D6FC-4f65-9D91-7224C49458BB}"/>
              </c:extLst>
            </c:dLbl>
            <c:dLbl>
              <c:idx val="5"/>
              <c:layout>
                <c:manualLayout>
                  <c:x val="0"/>
                  <c:y val="-3.05020639111150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8-14DA-4D4A-A99C-8F09A132619B}"/>
                </c:ext>
                <c:ext xmlns:c15="http://schemas.microsoft.com/office/drawing/2012/chart" uri="{CE6537A1-D6FC-4f65-9D91-7224C49458BB}"/>
              </c:extLst>
            </c:dLbl>
            <c:dLbl>
              <c:idx val="6"/>
              <c:layout>
                <c:manualLayout>
                  <c:x val="1.2277468467206466E-3"/>
                  <c:y val="-3.667982667628286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9-14DA-4D4A-A99C-8F09A132619B}"/>
                </c:ext>
                <c:ext xmlns:c15="http://schemas.microsoft.com/office/drawing/2012/chart" uri="{CE6537A1-D6FC-4f65-9D91-7224C49458BB}"/>
              </c:extLst>
            </c:dLbl>
            <c:dLbl>
              <c:idx val="7"/>
              <c:layout>
                <c:manualLayout>
                  <c:x val="0"/>
                  <c:y val="-2.765253341370643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A-14DA-4D4A-A99C-8F09A132619B}"/>
                </c:ext>
                <c:ext xmlns:c15="http://schemas.microsoft.com/office/drawing/2012/chart" uri="{CE6537A1-D6FC-4f65-9D91-7224C49458BB}"/>
              </c:extLst>
            </c:dLbl>
            <c:dLbl>
              <c:idx val="8"/>
              <c:layout>
                <c:manualLayout>
                  <c:x val="-1.6729401923881221E-3"/>
                  <c:y val="-2.46604840732341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B-14DA-4D4A-A99C-8F09A132619B}"/>
                </c:ext>
                <c:ext xmlns:c15="http://schemas.microsoft.com/office/drawing/2012/chart" uri="{CE6537A1-D6FC-4f65-9D91-7224C49458BB}"/>
              </c:extLst>
            </c:dLbl>
            <c:dLbl>
              <c:idx val="9"/>
              <c:layout>
                <c:manualLayout>
                  <c:x val="0"/>
                  <c:y val="-1.304945536351818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C-14DA-4D4A-A99C-8F09A132619B}"/>
                </c:ext>
                <c:ext xmlns:c15="http://schemas.microsoft.com/office/drawing/2012/chart" uri="{CE6537A1-D6FC-4f65-9D91-7224C49458BB}"/>
              </c:extLst>
            </c:dLbl>
            <c:dLbl>
              <c:idx val="10"/>
              <c:layout>
                <c:manualLayout>
                  <c:x val="0"/>
                  <c:y val="-1.5988782710111622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D-14DA-4D4A-A99C-8F09A132619B}"/>
                </c:ext>
                <c:ext xmlns:c15="http://schemas.microsoft.com/office/drawing/2012/chart" uri="{CE6537A1-D6FC-4f65-9D91-7224C49458BB}"/>
              </c:extLst>
            </c:dLbl>
            <c:dLbl>
              <c:idx val="11"/>
              <c:layout>
                <c:manualLayout>
                  <c:x val="0"/>
                  <c:y val="-1.869070870854580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E-14DA-4D4A-A99C-8F09A132619B}"/>
                </c:ext>
                <c:ext xmlns:c15="http://schemas.microsoft.com/office/drawing/2012/chart" uri="{CE6537A1-D6FC-4f65-9D91-7224C49458BB}"/>
              </c:extLst>
            </c:dLbl>
            <c:dLbl>
              <c:idx val="12"/>
              <c:layout>
                <c:manualLayout>
                  <c:x val="0"/>
                  <c:y val="-3.082408133449423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1F-14DA-4D4A-A99C-8F09A132619B}"/>
                </c:ext>
                <c:ext xmlns:c15="http://schemas.microsoft.com/office/drawing/2012/chart" uri="{CE6537A1-D6FC-4f65-9D91-7224C49458BB}"/>
              </c:extLst>
            </c:dLbl>
            <c:dLbl>
              <c:idx val="13"/>
              <c:layout>
                <c:manualLayout>
                  <c:x val="-1.6729401923881221E-3"/>
                  <c:y val="-3.618313487413614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0-14DA-4D4A-A99C-8F09A132619B}"/>
                </c:ext>
                <c:ext xmlns:c15="http://schemas.microsoft.com/office/drawing/2012/chart" uri="{CE6537A1-D6FC-4f65-9D91-7224C49458BB}"/>
              </c:extLst>
            </c:dLbl>
            <c:dLbl>
              <c:idx val="14"/>
              <c:layout>
                <c:manualLayout>
                  <c:x val="-1.6729401923881221E-3"/>
                  <c:y val="-2.478543215121277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1-14DA-4D4A-A99C-8F09A132619B}"/>
                </c:ext>
                <c:ext xmlns:c15="http://schemas.microsoft.com/office/drawing/2012/chart" uri="{CE6537A1-D6FC-4f65-9D91-7224C49458BB}"/>
              </c:extLst>
            </c:dLbl>
            <c:dLbl>
              <c:idx val="15"/>
              <c:layout>
                <c:manualLayout>
                  <c:x val="1.6729401923881221E-3"/>
                  <c:y val="-4.089672492802535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2-14DA-4D4A-A99C-8F09A132619B}"/>
                </c:ext>
                <c:ext xmlns:c15="http://schemas.microsoft.com/office/drawing/2012/chart" uri="{CE6537A1-D6FC-4f65-9D91-7224C49458BB}"/>
              </c:extLst>
            </c:dLbl>
            <c:dLbl>
              <c:idx val="16"/>
              <c:layout>
                <c:manualLayout>
                  <c:x val="-1.6729401923881221E-3"/>
                  <c:y val="-1.472589286829893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3-14DA-4D4A-A99C-8F09A132619B}"/>
                </c:ext>
                <c:ext xmlns:c15="http://schemas.microsoft.com/office/drawing/2012/chart" uri="{CE6537A1-D6FC-4f65-9D91-7224C49458BB}"/>
              </c:extLst>
            </c:dLbl>
            <c:dLbl>
              <c:idx val="17"/>
              <c:layout>
                <c:manualLayout>
                  <c:x val="0"/>
                  <c:y val="-7.2040185739889184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4-14DA-4D4A-A99C-8F09A132619B}"/>
                </c:ext>
                <c:ext xmlns:c15="http://schemas.microsoft.com/office/drawing/2012/chart" uri="{CE6537A1-D6FC-4f65-9D91-7224C49458BB}"/>
              </c:extLst>
            </c:dLbl>
            <c:dLbl>
              <c:idx val="18"/>
              <c:layout>
                <c:manualLayout>
                  <c:x val="0"/>
                  <c:y val="-1.178229900196960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5-14DA-4D4A-A99C-8F09A132619B}"/>
                </c:ext>
                <c:ext xmlns:c15="http://schemas.microsoft.com/office/drawing/2012/chart" uri="{CE6537A1-D6FC-4f65-9D91-7224C49458BB}"/>
              </c:extLst>
            </c:dLbl>
            <c:dLbl>
              <c:idx val="19"/>
              <c:layout>
                <c:manualLayout>
                  <c:x val="1.6729401923881221E-3"/>
                  <c:y val="-1.278401688566610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6-14DA-4D4A-A99C-8F09A132619B}"/>
                </c:ext>
                <c:ext xmlns:c15="http://schemas.microsoft.com/office/drawing/2012/chart" uri="{CE6537A1-D6FC-4f65-9D91-7224C49458BB}"/>
              </c:extLst>
            </c:dLbl>
            <c:dLbl>
              <c:idx val="20"/>
              <c:layout>
                <c:manualLayout>
                  <c:x val="3.3458803847762441E-3"/>
                  <c:y val="-2.3323539638863484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7-14DA-4D4A-A99C-8F09A132619B}"/>
                </c:ext>
                <c:ext xmlns:c15="http://schemas.microsoft.com/office/drawing/2012/chart" uri="{CE6537A1-D6FC-4f65-9D91-7224C49458BB}"/>
              </c:extLst>
            </c:dLbl>
            <c:dLbl>
              <c:idx val="21"/>
              <c:layout>
                <c:manualLayout>
                  <c:x val="3.3458803847762441E-3"/>
                  <c:y val="-2.2247157659789546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8-14DA-4D4A-A99C-8F09A132619B}"/>
                </c:ext>
                <c:ext xmlns:c15="http://schemas.microsoft.com/office/drawing/2012/chart" uri="{CE6537A1-D6FC-4f65-9D91-7224C49458BB}"/>
              </c:extLst>
            </c:dLbl>
            <c:dLbl>
              <c:idx val="22"/>
              <c:layout>
                <c:manualLayout>
                  <c:x val="0"/>
                  <c:y val="-1.65921905013252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9-14DA-4D4A-A99C-8F09A132619B}"/>
                </c:ext>
                <c:ext xmlns:c15="http://schemas.microsoft.com/office/drawing/2012/chart" uri="{CE6537A1-D6FC-4f65-9D91-7224C49458BB}"/>
              </c:extLst>
            </c:dLbl>
            <c:dLbl>
              <c:idx val="23"/>
              <c:layout>
                <c:manualLayout>
                  <c:x val="1.2268086355532441E-16"/>
                  <c:y val="-2.123843049366986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A-14DA-4D4A-A99C-8F09A132619B}"/>
                </c:ext>
                <c:ext xmlns:c15="http://schemas.microsoft.com/office/drawing/2012/chart" uri="{CE6537A1-D6FC-4f65-9D91-7224C49458BB}"/>
              </c:extLst>
            </c:dLbl>
            <c:dLbl>
              <c:idx val="24"/>
              <c:layout>
                <c:manualLayout>
                  <c:x val="-1.2268086355532441E-16"/>
                  <c:y val="-2.0008149052695479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B-14DA-4D4A-A99C-8F09A132619B}"/>
                </c:ext>
                <c:ext xmlns:c15="http://schemas.microsoft.com/office/drawing/2012/chart" uri="{CE6537A1-D6FC-4f65-9D91-7224C49458BB}"/>
              </c:extLst>
            </c:dLbl>
            <c:dLbl>
              <c:idx val="25"/>
              <c:layout>
                <c:manualLayout>
                  <c:x val="0"/>
                  <c:y val="-2.317268769106007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C-14DA-4D4A-A99C-8F09A132619B}"/>
                </c:ext>
                <c:ext xmlns:c15="http://schemas.microsoft.com/office/drawing/2012/chart" uri="{CE6537A1-D6FC-4f65-9D91-7224C49458BB}"/>
              </c:extLst>
            </c:dLbl>
            <c:dLbl>
              <c:idx val="26"/>
              <c:layout>
                <c:manualLayout>
                  <c:x val="0"/>
                  <c:y val="-8.6671300919770235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D-14DA-4D4A-A99C-8F09A132619B}"/>
                </c:ext>
                <c:ext xmlns:c15="http://schemas.microsoft.com/office/drawing/2012/chart" uri="{CE6537A1-D6FC-4f65-9D91-7224C49458BB}"/>
              </c:extLst>
            </c:dLbl>
            <c:dLbl>
              <c:idx val="27"/>
              <c:layout>
                <c:manualLayout>
                  <c:x val="1.2056306813020167E-16"/>
                  <c:y val="1.4902343934517631E-3"/>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2E-14DA-4D4A-A99C-8F09A132619B}"/>
                </c:ext>
                <c:ext xmlns:c15="http://schemas.microsoft.com/office/drawing/2012/chart" uri="{CE6537A1-D6FC-4f65-9D91-7224C49458BB}"/>
              </c:extLst>
            </c:dLbl>
            <c:spPr>
              <a:noFill/>
              <a:ln>
                <a:noFill/>
              </a:ln>
              <a:effectLst/>
            </c:spPr>
            <c:txPr>
              <a:bodyPr rot="0" vert="horz"/>
              <a:lstStyle/>
              <a:p>
                <a:pPr>
                  <a:defRPr sz="650" b="1"/>
                </a:pPr>
                <a:endParaRPr lang="hu-H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'5.ábra'!$B$23:$I$23</c:f>
              <c:strCache>
                <c:ptCount val="8"/>
                <c:pt idx="0">
                  <c:v>2023. I.</c:v>
                </c:pt>
                <c:pt idx="1">
                  <c:v>2023. II.</c:v>
                </c:pt>
                <c:pt idx="2">
                  <c:v>2023. III.</c:v>
                </c:pt>
                <c:pt idx="3">
                  <c:v>2023. IV.</c:v>
                </c:pt>
                <c:pt idx="4">
                  <c:v>2024. I</c:v>
                </c:pt>
                <c:pt idx="5">
                  <c:v>2024. II.</c:v>
                </c:pt>
                <c:pt idx="6">
                  <c:v>2024. III.</c:v>
                </c:pt>
                <c:pt idx="7">
                  <c:v>2024. IV.</c:v>
                </c:pt>
              </c:strCache>
            </c:strRef>
          </c:cat>
          <c:val>
            <c:numRef>
              <c:f>'5.ábra'!$B$27:$I$27</c:f>
              <c:numCache>
                <c:formatCode>#\ ##0.0</c:formatCode>
                <c:ptCount val="8"/>
                <c:pt idx="0">
                  <c:v>77.667695662</c:v>
                </c:pt>
                <c:pt idx="1">
                  <c:v>84.542899206000001</c:v>
                </c:pt>
                <c:pt idx="2">
                  <c:v>77.819755622000002</c:v>
                </c:pt>
                <c:pt idx="3">
                  <c:v>64.975372770000007</c:v>
                </c:pt>
                <c:pt idx="4">
                  <c:v>64.551542443000002</c:v>
                </c:pt>
                <c:pt idx="5">
                  <c:v>65.716445636999993</c:v>
                </c:pt>
                <c:pt idx="6">
                  <c:v>62.604742434999999</c:v>
                </c:pt>
                <c:pt idx="7">
                  <c:v>56.807188490999998</c:v>
                </c:pt>
              </c:numCache>
            </c:numRef>
          </c:val>
          <c:extLst xmlns:c16r2="http://schemas.microsoft.com/office/drawing/2015/06/chart">
            <c:ext xmlns:c16="http://schemas.microsoft.com/office/drawing/2014/chart" uri="{C3380CC4-5D6E-409C-BE32-E72D297353CC}">
              <c16:uniqueId val="{0000002F-14DA-4D4A-A99C-8F09A132619B}"/>
            </c:ext>
          </c:extLst>
        </c:ser>
        <c:dLbls>
          <c:dLblPos val="inEnd"/>
          <c:showLegendKey val="0"/>
          <c:showVal val="1"/>
          <c:showCatName val="0"/>
          <c:showSerName val="0"/>
          <c:showPercent val="0"/>
          <c:showBubbleSize val="0"/>
        </c:dLbls>
        <c:gapWidth val="150"/>
        <c:overlap val="100"/>
        <c:axId val="519244944"/>
        <c:axId val="519245336"/>
      </c:barChart>
      <c:catAx>
        <c:axId val="519244944"/>
        <c:scaling>
          <c:orientation val="minMax"/>
        </c:scaling>
        <c:delete val="0"/>
        <c:axPos val="b"/>
        <c:numFmt formatCode="General" sourceLinked="0"/>
        <c:majorTickMark val="out"/>
        <c:minorTickMark val="none"/>
        <c:tickLblPos val="nextTo"/>
        <c:txPr>
          <a:bodyPr/>
          <a:lstStyle/>
          <a:p>
            <a:pPr>
              <a:defRPr sz="800"/>
            </a:pPr>
            <a:endParaRPr lang="hu-HU"/>
          </a:p>
        </c:txPr>
        <c:crossAx val="519245336"/>
        <c:crosses val="autoZero"/>
        <c:auto val="1"/>
        <c:lblAlgn val="ctr"/>
        <c:lblOffset val="100"/>
        <c:noMultiLvlLbl val="0"/>
      </c:catAx>
      <c:valAx>
        <c:axId val="519245336"/>
        <c:scaling>
          <c:orientation val="minMax"/>
        </c:scaling>
        <c:delete val="0"/>
        <c:axPos val="l"/>
        <c:majorGridlines/>
        <c:numFmt formatCode="#\ ##0.0" sourceLinked="1"/>
        <c:majorTickMark val="out"/>
        <c:minorTickMark val="none"/>
        <c:tickLblPos val="nextTo"/>
        <c:txPr>
          <a:bodyPr/>
          <a:lstStyle/>
          <a:p>
            <a:pPr>
              <a:defRPr sz="800"/>
            </a:pPr>
            <a:endParaRPr lang="hu-HU"/>
          </a:p>
        </c:txPr>
        <c:crossAx val="519244944"/>
        <c:crosses val="autoZero"/>
        <c:crossBetween val="between"/>
      </c:valAx>
    </c:plotArea>
    <c:legend>
      <c:legendPos val="b"/>
      <c:layout>
        <c:manualLayout>
          <c:xMode val="edge"/>
          <c:yMode val="edge"/>
          <c:x val="4.0117673330291167E-3"/>
          <c:y val="0.8089726738553461"/>
          <c:w val="0.98043911386860849"/>
          <c:h val="0.16780526872522181"/>
        </c:manualLayout>
      </c:layout>
      <c:overlay val="0"/>
      <c:txPr>
        <a:bodyPr/>
        <a:lstStyle/>
        <a:p>
          <a:pPr>
            <a:defRPr sz="800"/>
          </a:pPr>
          <a:endParaRPr lang="hu-HU"/>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hu-H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percentStacked"/>
        <c:varyColors val="0"/>
        <c:ser>
          <c:idx val="0"/>
          <c:order val="0"/>
          <c:tx>
            <c:strRef>
              <c:f>'6. ábra'!$A$3</c:f>
              <c:strCache>
                <c:ptCount val="1"/>
                <c:pt idx="0">
                  <c:v>Egyéni gazdaságok (milliárd Ft)</c:v>
                </c:pt>
              </c:strCache>
            </c:strRef>
          </c:tx>
          <c:invertIfNegative val="0"/>
          <c:dLbls>
            <c:dLbl>
              <c:idx val="0"/>
              <c:layout>
                <c:manualLayout>
                  <c:x val="0"/>
                  <c:y val="-2.391628922138055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2A34-EE40-B3EA-587193BB43A2}"/>
                </c:ext>
                <c:ext xmlns:c15="http://schemas.microsoft.com/office/drawing/2012/chart" uri="{CE6537A1-D6FC-4f65-9D91-7224C49458BB}"/>
              </c:extLst>
            </c:dLbl>
            <c:dLbl>
              <c:idx val="1"/>
              <c:layout>
                <c:manualLayout>
                  <c:x val="-3.9811338865469687E-17"/>
                  <c:y val="-2.391628922138041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2A34-EE40-B3EA-587193BB43A2}"/>
                </c:ext>
                <c:ext xmlns:c15="http://schemas.microsoft.com/office/drawing/2012/chart" uri="{CE6537A1-D6FC-4f65-9D91-7224C49458BB}"/>
              </c:extLst>
            </c:dLbl>
            <c:dLbl>
              <c:idx val="2"/>
              <c:layout>
                <c:manualLayout>
                  <c:x val="0"/>
                  <c:y val="-2.790233742494395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2A34-EE40-B3EA-587193BB43A2}"/>
                </c:ext>
                <c:ext xmlns:c15="http://schemas.microsoft.com/office/drawing/2012/chart" uri="{CE6537A1-D6FC-4f65-9D91-7224C49458BB}"/>
              </c:extLst>
            </c:dLbl>
            <c:dLbl>
              <c:idx val="3"/>
              <c:layout>
                <c:manualLayout>
                  <c:x val="0"/>
                  <c:y val="-2.391628922138041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2A34-EE40-B3EA-587193BB43A2}"/>
                </c:ext>
                <c:ext xmlns:c15="http://schemas.microsoft.com/office/drawing/2012/chart" uri="{CE6537A1-D6FC-4f65-9D91-7224C49458BB}"/>
              </c:extLst>
            </c:dLbl>
            <c:dLbl>
              <c:idx val="4"/>
              <c:layout>
                <c:manualLayout>
                  <c:x val="-1.5924535546187875E-16"/>
                  <c:y val="-2.3916289221380411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2A34-EE40-B3EA-587193BB43A2}"/>
                </c:ext>
                <c:ext xmlns:c15="http://schemas.microsoft.com/office/drawing/2012/chart" uri="{CE6537A1-D6FC-4f65-9D91-7224C49458BB}"/>
              </c:extLst>
            </c:dLbl>
            <c:spPr>
              <a:noFill/>
              <a:ln>
                <a:noFill/>
              </a:ln>
              <a:effectLst/>
            </c:sp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 ábra'!$B$2:$I$2</c:f>
              <c:strCache>
                <c:ptCount val="8"/>
                <c:pt idx="0">
                  <c:v>2023. I.</c:v>
                </c:pt>
                <c:pt idx="1">
                  <c:v>2023. II.</c:v>
                </c:pt>
                <c:pt idx="2">
                  <c:v>2023. III.</c:v>
                </c:pt>
                <c:pt idx="3">
                  <c:v>2023. IV.</c:v>
                </c:pt>
                <c:pt idx="4">
                  <c:v>2024. I</c:v>
                </c:pt>
                <c:pt idx="5">
                  <c:v>2024. II.</c:v>
                </c:pt>
                <c:pt idx="6">
                  <c:v>2024. III.</c:v>
                </c:pt>
                <c:pt idx="7">
                  <c:v>2024. IV.</c:v>
                </c:pt>
              </c:strCache>
            </c:strRef>
          </c:cat>
          <c:val>
            <c:numRef>
              <c:f>'6. ábra'!$B$3:$I$3</c:f>
              <c:numCache>
                <c:formatCode>#\ ##0.0</c:formatCode>
                <c:ptCount val="8"/>
                <c:pt idx="0">
                  <c:v>5.5174280859999998</c:v>
                </c:pt>
                <c:pt idx="1">
                  <c:v>5.4040613390000001</c:v>
                </c:pt>
                <c:pt idx="2">
                  <c:v>5.0248401390000001</c:v>
                </c:pt>
                <c:pt idx="3">
                  <c:v>4.9533059509999999</c:v>
                </c:pt>
                <c:pt idx="4">
                  <c:v>4.8025669139999998</c:v>
                </c:pt>
                <c:pt idx="5">
                  <c:v>4.9542694330000003</c:v>
                </c:pt>
                <c:pt idx="6">
                  <c:v>5.3427441099999999</c:v>
                </c:pt>
                <c:pt idx="7">
                  <c:v>5.3990705859999997</c:v>
                </c:pt>
              </c:numCache>
            </c:numRef>
          </c:val>
          <c:extLst xmlns:c16r2="http://schemas.microsoft.com/office/drawing/2015/06/chart">
            <c:ext xmlns:c16="http://schemas.microsoft.com/office/drawing/2014/chart" uri="{C3380CC4-5D6E-409C-BE32-E72D297353CC}">
              <c16:uniqueId val="{00000000-C80B-4E09-AE21-E4768C8A4BD3}"/>
            </c:ext>
          </c:extLst>
        </c:ser>
        <c:ser>
          <c:idx val="1"/>
          <c:order val="1"/>
          <c:tx>
            <c:strRef>
              <c:f>'6. ábra'!$A$4</c:f>
              <c:strCache>
                <c:ptCount val="1"/>
                <c:pt idx="0">
                  <c:v>Gazdasági szervezetek (milliárd Ft)</c:v>
                </c:pt>
              </c:strCache>
            </c:strRef>
          </c:tx>
          <c:invertIfNegative val="0"/>
          <c:dLbls>
            <c:spPr>
              <a:noFill/>
              <a:ln>
                <a:noFill/>
              </a:ln>
              <a:effectLst/>
            </c:spPr>
            <c:txPr>
              <a:bodyPr rot="-5400000" vert="horz"/>
              <a:lstStyle/>
              <a:p>
                <a:pPr>
                  <a:defRPr/>
                </a:pPr>
                <a:endParaRPr lang="hu-H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'6. ábra'!$B$2:$I$2</c:f>
              <c:strCache>
                <c:ptCount val="8"/>
                <c:pt idx="0">
                  <c:v>2023. I.</c:v>
                </c:pt>
                <c:pt idx="1">
                  <c:v>2023. II.</c:v>
                </c:pt>
                <c:pt idx="2">
                  <c:v>2023. III.</c:v>
                </c:pt>
                <c:pt idx="3">
                  <c:v>2023. IV.</c:v>
                </c:pt>
                <c:pt idx="4">
                  <c:v>2024. I</c:v>
                </c:pt>
                <c:pt idx="5">
                  <c:v>2024. II.</c:v>
                </c:pt>
                <c:pt idx="6">
                  <c:v>2024. III.</c:v>
                </c:pt>
                <c:pt idx="7">
                  <c:v>2024. IV.</c:v>
                </c:pt>
              </c:strCache>
            </c:strRef>
          </c:cat>
          <c:val>
            <c:numRef>
              <c:f>'6. ábra'!$B$4:$I$4</c:f>
              <c:numCache>
                <c:formatCode>#\ ##0.0</c:formatCode>
                <c:ptCount val="8"/>
                <c:pt idx="0">
                  <c:v>739.1906450350001</c:v>
                </c:pt>
                <c:pt idx="1">
                  <c:v>726.23159394300001</c:v>
                </c:pt>
                <c:pt idx="2">
                  <c:v>753.372743829</c:v>
                </c:pt>
                <c:pt idx="3">
                  <c:v>744.56103438499997</c:v>
                </c:pt>
                <c:pt idx="4">
                  <c:v>737.72694163999995</c:v>
                </c:pt>
                <c:pt idx="5">
                  <c:v>700.850127477</c:v>
                </c:pt>
                <c:pt idx="6">
                  <c:v>715.76642803699997</c:v>
                </c:pt>
                <c:pt idx="7">
                  <c:v>750.60464624700001</c:v>
                </c:pt>
              </c:numCache>
            </c:numRef>
          </c:val>
          <c:extLst xmlns:c16r2="http://schemas.microsoft.com/office/drawing/2015/06/chart">
            <c:ext xmlns:c16="http://schemas.microsoft.com/office/drawing/2014/chart" uri="{C3380CC4-5D6E-409C-BE32-E72D297353CC}">
              <c16:uniqueId val="{00000001-C80B-4E09-AE21-E4768C8A4BD3}"/>
            </c:ext>
          </c:extLst>
        </c:ser>
        <c:dLbls>
          <c:dLblPos val="inBase"/>
          <c:showLegendKey val="0"/>
          <c:showVal val="1"/>
          <c:showCatName val="0"/>
          <c:showSerName val="0"/>
          <c:showPercent val="0"/>
          <c:showBubbleSize val="0"/>
        </c:dLbls>
        <c:gapWidth val="150"/>
        <c:overlap val="100"/>
        <c:axId val="519246512"/>
        <c:axId val="519244160"/>
      </c:barChart>
      <c:catAx>
        <c:axId val="519246512"/>
        <c:scaling>
          <c:orientation val="minMax"/>
        </c:scaling>
        <c:delete val="0"/>
        <c:axPos val="b"/>
        <c:numFmt formatCode="General" sourceLinked="0"/>
        <c:majorTickMark val="out"/>
        <c:minorTickMark val="none"/>
        <c:tickLblPos val="nextTo"/>
        <c:crossAx val="519244160"/>
        <c:crosses val="autoZero"/>
        <c:auto val="1"/>
        <c:lblAlgn val="ctr"/>
        <c:lblOffset val="100"/>
        <c:noMultiLvlLbl val="0"/>
      </c:catAx>
      <c:valAx>
        <c:axId val="519244160"/>
        <c:scaling>
          <c:orientation val="minMax"/>
        </c:scaling>
        <c:delete val="0"/>
        <c:axPos val="l"/>
        <c:majorGridlines/>
        <c:numFmt formatCode="0%" sourceLinked="1"/>
        <c:majorTickMark val="out"/>
        <c:minorTickMark val="none"/>
        <c:tickLblPos val="nextTo"/>
        <c:crossAx val="519246512"/>
        <c:crosses val="autoZero"/>
        <c:crossBetween val="between"/>
      </c:valAx>
    </c:plotArea>
    <c:legend>
      <c:legendPos val="b"/>
      <c:overlay val="0"/>
    </c:legend>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hu-H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4.1807700484870369E-2"/>
          <c:y val="2.823227177027459E-2"/>
          <c:w val="0.94286663069833487"/>
          <c:h val="0.83243813252313237"/>
        </c:manualLayout>
      </c:layout>
      <c:barChart>
        <c:barDir val="col"/>
        <c:grouping val="stacked"/>
        <c:varyColors val="0"/>
        <c:ser>
          <c:idx val="0"/>
          <c:order val="0"/>
          <c:tx>
            <c:strRef>
              <c:f>'7. ábra'!$A$9</c:f>
              <c:strCache>
                <c:ptCount val="1"/>
                <c:pt idx="0">
                  <c:v>Élip beruházási hitelei (milliárd Ft)</c:v>
                </c:pt>
              </c:strCache>
            </c:strRef>
          </c:tx>
          <c:invertIfNegative val="0"/>
          <c:dLbls>
            <c:spPr>
              <a:noFill/>
              <a:ln>
                <a:noFill/>
              </a:ln>
              <a:effectLst/>
            </c:spPr>
            <c:txPr>
              <a:bodyPr rot="0" vert="horz"/>
              <a:lstStyle/>
              <a:p>
                <a:pPr>
                  <a:defRPr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'7. ábra'!$B$8:$I$8</c:f>
              <c:strCache>
                <c:ptCount val="8"/>
                <c:pt idx="0">
                  <c:v>2023. I.</c:v>
                </c:pt>
                <c:pt idx="1">
                  <c:v>2023. II.</c:v>
                </c:pt>
                <c:pt idx="2">
                  <c:v>2023. III.</c:v>
                </c:pt>
                <c:pt idx="3">
                  <c:v>2023. IV.</c:v>
                </c:pt>
                <c:pt idx="4">
                  <c:v>2024. I</c:v>
                </c:pt>
                <c:pt idx="5">
                  <c:v>2024. II.</c:v>
                </c:pt>
                <c:pt idx="6">
                  <c:v>2024. III.</c:v>
                </c:pt>
                <c:pt idx="7">
                  <c:v>2024. IV.</c:v>
                </c:pt>
              </c:strCache>
            </c:strRef>
          </c:cat>
          <c:val>
            <c:numRef>
              <c:f>'7. ábra'!$B$9:$I$9</c:f>
              <c:numCache>
                <c:formatCode>#\ ##0.0</c:formatCode>
                <c:ptCount val="8"/>
                <c:pt idx="0">
                  <c:v>270.35857995099997</c:v>
                </c:pt>
                <c:pt idx="1">
                  <c:v>281.61066564499998</c:v>
                </c:pt>
                <c:pt idx="2">
                  <c:v>294.34345492</c:v>
                </c:pt>
                <c:pt idx="3">
                  <c:v>295.41637866799999</c:v>
                </c:pt>
                <c:pt idx="4">
                  <c:v>302.96274810299997</c:v>
                </c:pt>
                <c:pt idx="5">
                  <c:v>302.20232886299999</c:v>
                </c:pt>
                <c:pt idx="6">
                  <c:v>296.88343156600001</c:v>
                </c:pt>
                <c:pt idx="7">
                  <c:v>306.07617142999999</c:v>
                </c:pt>
              </c:numCache>
            </c:numRef>
          </c:val>
          <c:extLst xmlns:c16r2="http://schemas.microsoft.com/office/drawing/2015/06/chart">
            <c:ext xmlns:c16="http://schemas.microsoft.com/office/drawing/2014/chart" uri="{C3380CC4-5D6E-409C-BE32-E72D297353CC}">
              <c16:uniqueId val="{00000000-FD0C-4F55-BCD3-06FAC9A670FB}"/>
            </c:ext>
          </c:extLst>
        </c:ser>
        <c:ser>
          <c:idx val="1"/>
          <c:order val="1"/>
          <c:tx>
            <c:strRef>
              <c:f>'7. ábra'!$A$10</c:f>
              <c:strCache>
                <c:ptCount val="1"/>
                <c:pt idx="0">
                  <c:v>Élip hosszú lejáratú forgóeszköz hitelei (milliárd Ft)</c:v>
                </c:pt>
              </c:strCache>
            </c:strRef>
          </c:tx>
          <c:invertIfNegative val="0"/>
          <c:dLbls>
            <c:spPr>
              <a:noFill/>
              <a:ln>
                <a:noFill/>
              </a:ln>
              <a:effectLst/>
            </c:spPr>
            <c:txPr>
              <a:bodyPr rot="0" vert="horz"/>
              <a:lstStyle/>
              <a:p>
                <a:pPr>
                  <a:defRPr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'7. ábra'!$B$8:$I$8</c:f>
              <c:strCache>
                <c:ptCount val="8"/>
                <c:pt idx="0">
                  <c:v>2023. I.</c:v>
                </c:pt>
                <c:pt idx="1">
                  <c:v>2023. II.</c:v>
                </c:pt>
                <c:pt idx="2">
                  <c:v>2023. III.</c:v>
                </c:pt>
                <c:pt idx="3">
                  <c:v>2023. IV.</c:v>
                </c:pt>
                <c:pt idx="4">
                  <c:v>2024. I</c:v>
                </c:pt>
                <c:pt idx="5">
                  <c:v>2024. II.</c:v>
                </c:pt>
                <c:pt idx="6">
                  <c:v>2024. III.</c:v>
                </c:pt>
                <c:pt idx="7">
                  <c:v>2024. IV.</c:v>
                </c:pt>
              </c:strCache>
            </c:strRef>
          </c:cat>
          <c:val>
            <c:numRef>
              <c:f>'7. ábra'!$B$10:$I$10</c:f>
              <c:numCache>
                <c:formatCode>#\ ##0.0</c:formatCode>
                <c:ptCount val="8"/>
                <c:pt idx="0">
                  <c:v>181.33374860199999</c:v>
                </c:pt>
                <c:pt idx="1">
                  <c:v>202.23521181699999</c:v>
                </c:pt>
                <c:pt idx="2">
                  <c:v>218.97094078699999</c:v>
                </c:pt>
                <c:pt idx="3">
                  <c:v>233.54744399</c:v>
                </c:pt>
                <c:pt idx="4">
                  <c:v>215.95638387899996</c:v>
                </c:pt>
                <c:pt idx="5">
                  <c:v>199.928108933</c:v>
                </c:pt>
                <c:pt idx="6">
                  <c:v>199.24882109400002</c:v>
                </c:pt>
                <c:pt idx="7">
                  <c:v>202.16326460299999</c:v>
                </c:pt>
              </c:numCache>
            </c:numRef>
          </c:val>
          <c:extLst xmlns:c16r2="http://schemas.microsoft.com/office/drawing/2015/06/chart">
            <c:ext xmlns:c16="http://schemas.microsoft.com/office/drawing/2014/chart" uri="{C3380CC4-5D6E-409C-BE32-E72D297353CC}">
              <c16:uniqueId val="{00000001-FD0C-4F55-BCD3-06FAC9A670FB}"/>
            </c:ext>
          </c:extLst>
        </c:ser>
        <c:ser>
          <c:idx val="2"/>
          <c:order val="2"/>
          <c:tx>
            <c:strRef>
              <c:f>'7. ábra'!$A$11</c:f>
              <c:strCache>
                <c:ptCount val="1"/>
                <c:pt idx="0">
                  <c:v>Élip forint folyószámla-, és egyéb éven belüli hitelei (milliárd Ft)</c:v>
                </c:pt>
              </c:strCache>
            </c:strRef>
          </c:tx>
          <c:invertIfNegative val="0"/>
          <c:dLbls>
            <c:spPr>
              <a:noFill/>
              <a:ln>
                <a:noFill/>
              </a:ln>
              <a:effectLst/>
            </c:spPr>
            <c:txPr>
              <a:bodyPr rot="0" vert="horz"/>
              <a:lstStyle/>
              <a:p>
                <a:pPr>
                  <a:defRPr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'7. ábra'!$B$8:$I$8</c:f>
              <c:strCache>
                <c:ptCount val="8"/>
                <c:pt idx="0">
                  <c:v>2023. I.</c:v>
                </c:pt>
                <c:pt idx="1">
                  <c:v>2023. II.</c:v>
                </c:pt>
                <c:pt idx="2">
                  <c:v>2023. III.</c:v>
                </c:pt>
                <c:pt idx="3">
                  <c:v>2023. IV.</c:v>
                </c:pt>
                <c:pt idx="4">
                  <c:v>2024. I</c:v>
                </c:pt>
                <c:pt idx="5">
                  <c:v>2024. II.</c:v>
                </c:pt>
                <c:pt idx="6">
                  <c:v>2024. III.</c:v>
                </c:pt>
                <c:pt idx="7">
                  <c:v>2024. IV.</c:v>
                </c:pt>
              </c:strCache>
            </c:strRef>
          </c:cat>
          <c:val>
            <c:numRef>
              <c:f>'7. ábra'!$B$11:$I$11</c:f>
              <c:numCache>
                <c:formatCode>#\ ##0.0</c:formatCode>
                <c:ptCount val="8"/>
                <c:pt idx="0">
                  <c:v>241.35022582300002</c:v>
                </c:pt>
                <c:pt idx="1">
                  <c:v>197.24306457200001</c:v>
                </c:pt>
                <c:pt idx="2">
                  <c:v>194.72909168299998</c:v>
                </c:pt>
                <c:pt idx="3">
                  <c:v>170.01266267500003</c:v>
                </c:pt>
                <c:pt idx="4">
                  <c:v>196.121107679</c:v>
                </c:pt>
                <c:pt idx="5">
                  <c:v>181.422184133</c:v>
                </c:pt>
                <c:pt idx="6">
                  <c:v>200.159130973</c:v>
                </c:pt>
                <c:pt idx="7">
                  <c:v>223.779087164</c:v>
                </c:pt>
              </c:numCache>
            </c:numRef>
          </c:val>
          <c:extLst xmlns:c16r2="http://schemas.microsoft.com/office/drawing/2015/06/chart">
            <c:ext xmlns:c16="http://schemas.microsoft.com/office/drawing/2014/chart" uri="{C3380CC4-5D6E-409C-BE32-E72D297353CC}">
              <c16:uniqueId val="{00000002-FD0C-4F55-BCD3-06FAC9A670FB}"/>
            </c:ext>
          </c:extLst>
        </c:ser>
        <c:ser>
          <c:idx val="3"/>
          <c:order val="3"/>
          <c:tx>
            <c:strRef>
              <c:f>'7. ábra'!$A$12</c:f>
              <c:strCache>
                <c:ptCount val="1"/>
                <c:pt idx="0">
                  <c:v>Élip egyéb hitelei (milliárd Ft)</c:v>
                </c:pt>
              </c:strCache>
            </c:strRef>
          </c:tx>
          <c:invertIfNegative val="0"/>
          <c:dLbls>
            <c:dLbl>
              <c:idx val="0"/>
              <c:layout>
                <c:manualLayout>
                  <c:x val="0"/>
                  <c:y val="-5.106537092909210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466-B54C-AF1A-E99BCC11B335}"/>
                </c:ext>
                <c:ext xmlns:c15="http://schemas.microsoft.com/office/drawing/2012/chart" uri="{CE6537A1-D6FC-4f65-9D91-7224C49458BB}"/>
              </c:extLst>
            </c:dLbl>
            <c:dLbl>
              <c:idx val="1"/>
              <c:layout>
                <c:manualLayout>
                  <c:x val="0"/>
                  <c:y val="-4.9332540342034915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466-B54C-AF1A-E99BCC11B335}"/>
                </c:ext>
                <c:ext xmlns:c15="http://schemas.microsoft.com/office/drawing/2012/chart" uri="{CE6537A1-D6FC-4f65-9D91-7224C49458BB}"/>
              </c:extLst>
            </c:dLbl>
            <c:dLbl>
              <c:idx val="2"/>
              <c:layout>
                <c:manualLayout>
                  <c:x val="1.3495276653170895E-3"/>
                  <c:y val="-4.4803157772520738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1466-B54C-AF1A-E99BCC11B335}"/>
                </c:ext>
                <c:ext xmlns:c15="http://schemas.microsoft.com/office/drawing/2012/chart" uri="{CE6537A1-D6FC-4f65-9D91-7224C49458BB}"/>
              </c:extLst>
            </c:dLbl>
            <c:dLbl>
              <c:idx val="3"/>
              <c:layout>
                <c:manualLayout>
                  <c:x val="0"/>
                  <c:y val="-4.933727933385814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466-B54C-AF1A-E99BCC11B335}"/>
                </c:ext>
                <c:ext xmlns:c15="http://schemas.microsoft.com/office/drawing/2012/chart" uri="{CE6537A1-D6FC-4f65-9D91-7224C49458BB}"/>
              </c:extLst>
            </c:dLbl>
            <c:dLbl>
              <c:idx val="4"/>
              <c:layout>
                <c:manualLayout>
                  <c:x val="1.3495276653171389E-3"/>
                  <c:y val="-3.123633552718276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1466-B54C-AF1A-E99BCC11B335}"/>
                </c:ext>
                <c:ext xmlns:c15="http://schemas.microsoft.com/office/drawing/2012/chart" uri="{CE6537A1-D6FC-4f65-9D91-7224C49458BB}"/>
              </c:extLst>
            </c:dLbl>
            <c:dLbl>
              <c:idx val="5"/>
              <c:layout>
                <c:manualLayout>
                  <c:x val="-9.8964218880155408E-17"/>
                  <c:y val="-3.8590886299009607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1466-B54C-AF1A-E99BCC11B335}"/>
                </c:ext>
                <c:ext xmlns:c15="http://schemas.microsoft.com/office/drawing/2012/chart" uri="{CE6537A1-D6FC-4f65-9D91-7224C49458BB}"/>
              </c:extLst>
            </c:dLbl>
            <c:dLbl>
              <c:idx val="6"/>
              <c:layout>
                <c:manualLayout>
                  <c:x val="0"/>
                  <c:y val="-3.2626136013804333E-2"/>
                </c:manualLayout>
              </c:layout>
              <c:dLblPos val="ct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1466-B54C-AF1A-E99BCC11B335}"/>
                </c:ext>
                <c:ext xmlns:c15="http://schemas.microsoft.com/office/drawing/2012/chart" uri="{CE6537A1-D6FC-4f65-9D91-7224C49458BB}"/>
              </c:extLst>
            </c:dLbl>
            <c:spPr>
              <a:noFill/>
              <a:ln>
                <a:noFill/>
              </a:ln>
              <a:effectLst/>
            </c:spPr>
            <c:txPr>
              <a:bodyPr rot="0" vert="horz"/>
              <a:lstStyle/>
              <a:p>
                <a:pPr>
                  <a:defRPr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'7. ábra'!$B$8:$I$8</c:f>
              <c:strCache>
                <c:ptCount val="8"/>
                <c:pt idx="0">
                  <c:v>2023. I.</c:v>
                </c:pt>
                <c:pt idx="1">
                  <c:v>2023. II.</c:v>
                </c:pt>
                <c:pt idx="2">
                  <c:v>2023. III.</c:v>
                </c:pt>
                <c:pt idx="3">
                  <c:v>2023. IV.</c:v>
                </c:pt>
                <c:pt idx="4">
                  <c:v>2024. I</c:v>
                </c:pt>
                <c:pt idx="5">
                  <c:v>2024. II.</c:v>
                </c:pt>
                <c:pt idx="6">
                  <c:v>2024. III.</c:v>
                </c:pt>
                <c:pt idx="7">
                  <c:v>2024. IV.</c:v>
                </c:pt>
              </c:strCache>
            </c:strRef>
          </c:cat>
          <c:val>
            <c:numRef>
              <c:f>'7. ábra'!$B$12:$I$12</c:f>
              <c:numCache>
                <c:formatCode>#\ ##0.0</c:formatCode>
                <c:ptCount val="8"/>
                <c:pt idx="0">
                  <c:v>51.665518745</c:v>
                </c:pt>
                <c:pt idx="1">
                  <c:v>50.546713248000003</c:v>
                </c:pt>
                <c:pt idx="2">
                  <c:v>50.354096578000004</c:v>
                </c:pt>
                <c:pt idx="3">
                  <c:v>50.537855003000004</c:v>
                </c:pt>
                <c:pt idx="4">
                  <c:v>27.489268893000002</c:v>
                </c:pt>
                <c:pt idx="5">
                  <c:v>22.251734281000001</c:v>
                </c:pt>
                <c:pt idx="6">
                  <c:v>24.817740409000002</c:v>
                </c:pt>
                <c:pt idx="7">
                  <c:v>23.974099880999997</c:v>
                </c:pt>
              </c:numCache>
            </c:numRef>
          </c:val>
          <c:extLst xmlns:c16r2="http://schemas.microsoft.com/office/drawing/2015/06/chart">
            <c:ext xmlns:c16="http://schemas.microsoft.com/office/drawing/2014/chart" uri="{C3380CC4-5D6E-409C-BE32-E72D297353CC}">
              <c16:uniqueId val="{00000003-FD0C-4F55-BCD3-06FAC9A670FB}"/>
            </c:ext>
          </c:extLst>
        </c:ser>
        <c:dLbls>
          <c:dLblPos val="inBase"/>
          <c:showLegendKey val="0"/>
          <c:showVal val="1"/>
          <c:showCatName val="0"/>
          <c:showSerName val="0"/>
          <c:showPercent val="0"/>
          <c:showBubbleSize val="0"/>
        </c:dLbls>
        <c:gapWidth val="150"/>
        <c:overlap val="100"/>
        <c:axId val="433488104"/>
        <c:axId val="433490064"/>
      </c:barChart>
      <c:catAx>
        <c:axId val="433488104"/>
        <c:scaling>
          <c:orientation val="minMax"/>
        </c:scaling>
        <c:delete val="0"/>
        <c:axPos val="b"/>
        <c:numFmt formatCode="General" sourceLinked="0"/>
        <c:majorTickMark val="out"/>
        <c:minorTickMark val="none"/>
        <c:tickLblPos val="nextTo"/>
        <c:crossAx val="433490064"/>
        <c:crosses val="autoZero"/>
        <c:auto val="1"/>
        <c:lblAlgn val="ctr"/>
        <c:lblOffset val="100"/>
        <c:noMultiLvlLbl val="0"/>
      </c:catAx>
      <c:valAx>
        <c:axId val="433490064"/>
        <c:scaling>
          <c:orientation val="minMax"/>
          <c:max val="800"/>
        </c:scaling>
        <c:delete val="0"/>
        <c:axPos val="l"/>
        <c:majorGridlines/>
        <c:numFmt formatCode="#\ ##0.0" sourceLinked="1"/>
        <c:majorTickMark val="out"/>
        <c:minorTickMark val="none"/>
        <c:tickLblPos val="nextTo"/>
        <c:crossAx val="433488104"/>
        <c:crossesAt val="1"/>
        <c:crossBetween val="between"/>
      </c:valAx>
    </c:plotArea>
    <c:legend>
      <c:legendPos val="b"/>
      <c:layout>
        <c:manualLayout>
          <c:xMode val="edge"/>
          <c:yMode val="edge"/>
          <c:x val="1.9322410164922629E-2"/>
          <c:y val="0.91926641362036343"/>
          <c:w val="0.96061685837657385"/>
          <c:h val="7.8621625974683057E-2"/>
        </c:manualLayout>
      </c:layout>
      <c:overlay val="0"/>
    </c:legend>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hu-H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6.0982976343090946E-2"/>
          <c:y val="2.2899378143769765E-2"/>
          <c:w val="0.93972726235307547"/>
          <c:h val="0.75956979434174499"/>
        </c:manualLayout>
      </c:layout>
      <c:barChart>
        <c:barDir val="col"/>
        <c:grouping val="stacked"/>
        <c:varyColors val="0"/>
        <c:ser>
          <c:idx val="0"/>
          <c:order val="0"/>
          <c:tx>
            <c:strRef>
              <c:f>'8. ábra'!$A$4</c:f>
              <c:strCache>
                <c:ptCount val="1"/>
                <c:pt idx="0">
                  <c:v>Forint %</c:v>
                </c:pt>
              </c:strCache>
            </c:strRef>
          </c:tx>
          <c:spPr>
            <a:solidFill>
              <a:schemeClr val="accent3"/>
            </a:solidFill>
            <a:ln w="3175">
              <a:solidFill>
                <a:sysClr val="windowText" lastClr="000000"/>
              </a:solidFill>
            </a:ln>
          </c:spPr>
          <c:invertIfNegative val="0"/>
          <c:dPt>
            <c:idx val="1"/>
            <c:invertIfNegative val="0"/>
            <c:bubble3D val="0"/>
            <c:spPr>
              <a:solidFill>
                <a:schemeClr val="accent1"/>
              </a:solidFill>
              <a:ln w="3175">
                <a:solidFill>
                  <a:sysClr val="windowText" lastClr="000000"/>
                </a:solidFill>
              </a:ln>
            </c:spPr>
            <c:extLst xmlns:c16r2="http://schemas.microsoft.com/office/drawing/2015/06/chart">
              <c:ext xmlns:c16="http://schemas.microsoft.com/office/drawing/2014/chart" uri="{C3380CC4-5D6E-409C-BE32-E72D297353CC}">
                <c16:uniqueId val="{00000001-F28F-4803-9E29-5FBC986106CF}"/>
              </c:ext>
            </c:extLst>
          </c:dPt>
          <c:dPt>
            <c:idx val="3"/>
            <c:invertIfNegative val="0"/>
            <c:bubble3D val="0"/>
            <c:spPr>
              <a:solidFill>
                <a:schemeClr val="accent1"/>
              </a:solidFill>
              <a:ln w="3175">
                <a:solidFill>
                  <a:sysClr val="windowText" lastClr="000000"/>
                </a:solidFill>
              </a:ln>
            </c:spPr>
            <c:extLst xmlns:c16r2="http://schemas.microsoft.com/office/drawing/2015/06/chart">
              <c:ext xmlns:c16="http://schemas.microsoft.com/office/drawing/2014/chart" uri="{C3380CC4-5D6E-409C-BE32-E72D297353CC}">
                <c16:uniqueId val="{00000003-F28F-4803-9E29-5FBC986106CF}"/>
              </c:ext>
            </c:extLst>
          </c:dPt>
          <c:dPt>
            <c:idx val="5"/>
            <c:invertIfNegative val="0"/>
            <c:bubble3D val="0"/>
            <c:spPr>
              <a:solidFill>
                <a:schemeClr val="accent1"/>
              </a:solidFill>
              <a:ln w="3175">
                <a:solidFill>
                  <a:sysClr val="windowText" lastClr="000000"/>
                </a:solidFill>
              </a:ln>
            </c:spPr>
            <c:extLst xmlns:c16r2="http://schemas.microsoft.com/office/drawing/2015/06/chart">
              <c:ext xmlns:c16="http://schemas.microsoft.com/office/drawing/2014/chart" uri="{C3380CC4-5D6E-409C-BE32-E72D297353CC}">
                <c16:uniqueId val="{00000005-F28F-4803-9E29-5FBC986106CF}"/>
              </c:ext>
            </c:extLst>
          </c:dPt>
          <c:dPt>
            <c:idx val="7"/>
            <c:invertIfNegative val="0"/>
            <c:bubble3D val="0"/>
            <c:spPr>
              <a:solidFill>
                <a:schemeClr val="accent1"/>
              </a:solidFill>
              <a:ln w="3175">
                <a:solidFill>
                  <a:sysClr val="windowText" lastClr="000000"/>
                </a:solidFill>
              </a:ln>
            </c:spPr>
            <c:extLst xmlns:c16r2="http://schemas.microsoft.com/office/drawing/2015/06/chart">
              <c:ext xmlns:c16="http://schemas.microsoft.com/office/drawing/2014/chart" uri="{C3380CC4-5D6E-409C-BE32-E72D297353CC}">
                <c16:uniqueId val="{00000007-F28F-4803-9E29-5FBC986106CF}"/>
              </c:ext>
            </c:extLst>
          </c:dPt>
          <c:dPt>
            <c:idx val="9"/>
            <c:invertIfNegative val="0"/>
            <c:bubble3D val="0"/>
            <c:spPr>
              <a:solidFill>
                <a:schemeClr val="accent1"/>
              </a:solidFill>
              <a:ln w="3175">
                <a:solidFill>
                  <a:sysClr val="windowText" lastClr="000000"/>
                </a:solidFill>
              </a:ln>
            </c:spPr>
            <c:extLst xmlns:c16r2="http://schemas.microsoft.com/office/drawing/2015/06/chart">
              <c:ext xmlns:c16="http://schemas.microsoft.com/office/drawing/2014/chart" uri="{C3380CC4-5D6E-409C-BE32-E72D297353CC}">
                <c16:uniqueId val="{00000009-F28F-4803-9E29-5FBC986106CF}"/>
              </c:ext>
            </c:extLst>
          </c:dPt>
          <c:dPt>
            <c:idx val="11"/>
            <c:invertIfNegative val="0"/>
            <c:bubble3D val="0"/>
            <c:spPr>
              <a:solidFill>
                <a:schemeClr val="accent1"/>
              </a:solidFill>
              <a:ln w="3175">
                <a:solidFill>
                  <a:sysClr val="windowText" lastClr="000000"/>
                </a:solidFill>
              </a:ln>
            </c:spPr>
            <c:extLst xmlns:c16r2="http://schemas.microsoft.com/office/drawing/2015/06/chart">
              <c:ext xmlns:c16="http://schemas.microsoft.com/office/drawing/2014/chart" uri="{C3380CC4-5D6E-409C-BE32-E72D297353CC}">
                <c16:uniqueId val="{0000000B-F28F-4803-9E29-5FBC986106CF}"/>
              </c:ext>
            </c:extLst>
          </c:dPt>
          <c:dPt>
            <c:idx val="13"/>
            <c:invertIfNegative val="0"/>
            <c:bubble3D val="0"/>
            <c:spPr>
              <a:solidFill>
                <a:schemeClr val="accent1"/>
              </a:solidFill>
              <a:ln w="3175">
                <a:solidFill>
                  <a:sysClr val="windowText" lastClr="000000"/>
                </a:solidFill>
              </a:ln>
            </c:spPr>
            <c:extLst xmlns:c16r2="http://schemas.microsoft.com/office/drawing/2015/06/chart">
              <c:ext xmlns:c16="http://schemas.microsoft.com/office/drawing/2014/chart" uri="{C3380CC4-5D6E-409C-BE32-E72D297353CC}">
                <c16:uniqueId val="{0000000D-F28F-4803-9E29-5FBC986106CF}"/>
              </c:ext>
            </c:extLst>
          </c:dPt>
          <c:dPt>
            <c:idx val="15"/>
            <c:invertIfNegative val="0"/>
            <c:bubble3D val="0"/>
            <c:spPr>
              <a:solidFill>
                <a:schemeClr val="accent1"/>
              </a:solidFill>
              <a:ln w="3175">
                <a:solidFill>
                  <a:sysClr val="windowText" lastClr="000000"/>
                </a:solidFill>
              </a:ln>
            </c:spPr>
            <c:extLst xmlns:c16r2="http://schemas.microsoft.com/office/drawing/2015/06/chart">
              <c:ext xmlns:c16="http://schemas.microsoft.com/office/drawing/2014/chart" uri="{C3380CC4-5D6E-409C-BE32-E72D297353CC}">
                <c16:uniqueId val="{0000000F-F28F-4803-9E29-5FBC986106CF}"/>
              </c:ext>
            </c:extLst>
          </c:dPt>
          <c:dPt>
            <c:idx val="17"/>
            <c:invertIfNegative val="0"/>
            <c:bubble3D val="0"/>
            <c:extLst xmlns:c16r2="http://schemas.microsoft.com/office/drawing/2015/06/chart">
              <c:ext xmlns:c16="http://schemas.microsoft.com/office/drawing/2014/chart" uri="{C3380CC4-5D6E-409C-BE32-E72D297353CC}">
                <c16:uniqueId val="{00000011-F28F-4803-9E29-5FBC986106CF}"/>
              </c:ext>
            </c:extLst>
          </c:dPt>
          <c:dPt>
            <c:idx val="19"/>
            <c:invertIfNegative val="0"/>
            <c:bubble3D val="0"/>
            <c:extLst xmlns:c16r2="http://schemas.microsoft.com/office/drawing/2015/06/chart">
              <c:ext xmlns:c16="http://schemas.microsoft.com/office/drawing/2014/chart" uri="{C3380CC4-5D6E-409C-BE32-E72D297353CC}">
                <c16:uniqueId val="{00000013-F28F-4803-9E29-5FBC986106CF}"/>
              </c:ext>
            </c:extLst>
          </c:dPt>
          <c:dPt>
            <c:idx val="21"/>
            <c:invertIfNegative val="0"/>
            <c:bubble3D val="0"/>
            <c:extLst xmlns:c16r2="http://schemas.microsoft.com/office/drawing/2015/06/chart">
              <c:ext xmlns:c16="http://schemas.microsoft.com/office/drawing/2014/chart" uri="{C3380CC4-5D6E-409C-BE32-E72D297353CC}">
                <c16:uniqueId val="{00000015-F28F-4803-9E29-5FBC986106CF}"/>
              </c:ext>
            </c:extLst>
          </c:dPt>
          <c:dPt>
            <c:idx val="23"/>
            <c:invertIfNegative val="0"/>
            <c:bubble3D val="0"/>
            <c:extLst xmlns:c16r2="http://schemas.microsoft.com/office/drawing/2015/06/chart">
              <c:ext xmlns:c16="http://schemas.microsoft.com/office/drawing/2014/chart" uri="{C3380CC4-5D6E-409C-BE32-E72D297353CC}">
                <c16:uniqueId val="{00000017-F28F-4803-9E29-5FBC986106CF}"/>
              </c:ext>
            </c:extLst>
          </c:dPt>
          <c:dPt>
            <c:idx val="25"/>
            <c:invertIfNegative val="0"/>
            <c:bubble3D val="0"/>
            <c:extLst xmlns:c16r2="http://schemas.microsoft.com/office/drawing/2015/06/chart">
              <c:ext xmlns:c16="http://schemas.microsoft.com/office/drawing/2014/chart" uri="{C3380CC4-5D6E-409C-BE32-E72D297353CC}">
                <c16:uniqueId val="{00000019-F28F-4803-9E29-5FBC986106CF}"/>
              </c:ext>
            </c:extLst>
          </c:dPt>
          <c:dPt>
            <c:idx val="27"/>
            <c:invertIfNegative val="0"/>
            <c:bubble3D val="0"/>
            <c:extLst xmlns:c16r2="http://schemas.microsoft.com/office/drawing/2015/06/chart">
              <c:ext xmlns:c16="http://schemas.microsoft.com/office/drawing/2014/chart" uri="{C3380CC4-5D6E-409C-BE32-E72D297353CC}">
                <c16:uniqueId val="{0000001B-F28F-4803-9E29-5FBC986106CF}"/>
              </c:ext>
            </c:extLst>
          </c:dPt>
          <c:dPt>
            <c:idx val="29"/>
            <c:invertIfNegative val="0"/>
            <c:bubble3D val="0"/>
            <c:extLst xmlns:c16r2="http://schemas.microsoft.com/office/drawing/2015/06/chart">
              <c:ext xmlns:c16="http://schemas.microsoft.com/office/drawing/2014/chart" uri="{C3380CC4-5D6E-409C-BE32-E72D297353CC}">
                <c16:uniqueId val="{0000001D-F28F-4803-9E29-5FBC986106CF}"/>
              </c:ext>
            </c:extLst>
          </c:dPt>
          <c:dPt>
            <c:idx val="31"/>
            <c:invertIfNegative val="0"/>
            <c:bubble3D val="0"/>
            <c:extLst xmlns:c16r2="http://schemas.microsoft.com/office/drawing/2015/06/chart">
              <c:ext xmlns:c16="http://schemas.microsoft.com/office/drawing/2014/chart" uri="{C3380CC4-5D6E-409C-BE32-E72D297353CC}">
                <c16:uniqueId val="{0000001F-F28F-4803-9E29-5FBC986106CF}"/>
              </c:ext>
            </c:extLst>
          </c:dPt>
          <c:dPt>
            <c:idx val="33"/>
            <c:invertIfNegative val="0"/>
            <c:bubble3D val="0"/>
            <c:extLst xmlns:c16r2="http://schemas.microsoft.com/office/drawing/2015/06/chart">
              <c:ext xmlns:c16="http://schemas.microsoft.com/office/drawing/2014/chart" uri="{C3380CC4-5D6E-409C-BE32-E72D297353CC}">
                <c16:uniqueId val="{00000021-F28F-4803-9E29-5FBC986106CF}"/>
              </c:ext>
            </c:extLst>
          </c:dPt>
          <c:dPt>
            <c:idx val="35"/>
            <c:invertIfNegative val="0"/>
            <c:bubble3D val="0"/>
            <c:extLst xmlns:c16r2="http://schemas.microsoft.com/office/drawing/2015/06/chart">
              <c:ext xmlns:c16="http://schemas.microsoft.com/office/drawing/2014/chart" uri="{C3380CC4-5D6E-409C-BE32-E72D297353CC}">
                <c16:uniqueId val="{00000023-F28F-4803-9E29-5FBC986106CF}"/>
              </c:ext>
            </c:extLst>
          </c:dPt>
          <c:dPt>
            <c:idx val="37"/>
            <c:invertIfNegative val="0"/>
            <c:bubble3D val="0"/>
            <c:extLst xmlns:c16r2="http://schemas.microsoft.com/office/drawing/2015/06/chart">
              <c:ext xmlns:c16="http://schemas.microsoft.com/office/drawing/2014/chart" uri="{C3380CC4-5D6E-409C-BE32-E72D297353CC}">
                <c16:uniqueId val="{00000025-F28F-4803-9E29-5FBC986106CF}"/>
              </c:ext>
            </c:extLst>
          </c:dPt>
          <c:dPt>
            <c:idx val="39"/>
            <c:invertIfNegative val="0"/>
            <c:bubble3D val="0"/>
            <c:extLst xmlns:c16r2="http://schemas.microsoft.com/office/drawing/2015/06/chart">
              <c:ext xmlns:c16="http://schemas.microsoft.com/office/drawing/2014/chart" uri="{C3380CC4-5D6E-409C-BE32-E72D297353CC}">
                <c16:uniqueId val="{00000027-F28F-4803-9E29-5FBC986106CF}"/>
              </c:ext>
            </c:extLst>
          </c:dPt>
          <c:dPt>
            <c:idx val="41"/>
            <c:invertIfNegative val="0"/>
            <c:bubble3D val="0"/>
            <c:extLst xmlns:c16r2="http://schemas.microsoft.com/office/drawing/2015/06/chart">
              <c:ext xmlns:c16="http://schemas.microsoft.com/office/drawing/2014/chart" uri="{C3380CC4-5D6E-409C-BE32-E72D297353CC}">
                <c16:uniqueId val="{00000029-F28F-4803-9E29-5FBC986106CF}"/>
              </c:ext>
            </c:extLst>
          </c:dPt>
          <c:dPt>
            <c:idx val="43"/>
            <c:invertIfNegative val="0"/>
            <c:bubble3D val="0"/>
            <c:extLst xmlns:c16r2="http://schemas.microsoft.com/office/drawing/2015/06/chart">
              <c:ext xmlns:c16="http://schemas.microsoft.com/office/drawing/2014/chart" uri="{C3380CC4-5D6E-409C-BE32-E72D297353CC}">
                <c16:uniqueId val="{0000002B-F28F-4803-9E29-5FBC986106CF}"/>
              </c:ext>
            </c:extLst>
          </c:dPt>
          <c:dPt>
            <c:idx val="45"/>
            <c:invertIfNegative val="0"/>
            <c:bubble3D val="0"/>
            <c:extLst xmlns:c16r2="http://schemas.microsoft.com/office/drawing/2015/06/chart">
              <c:ext xmlns:c16="http://schemas.microsoft.com/office/drawing/2014/chart" uri="{C3380CC4-5D6E-409C-BE32-E72D297353CC}">
                <c16:uniqueId val="{0000002D-F28F-4803-9E29-5FBC986106CF}"/>
              </c:ext>
            </c:extLst>
          </c:dPt>
          <c:dPt>
            <c:idx val="47"/>
            <c:invertIfNegative val="0"/>
            <c:bubble3D val="0"/>
            <c:extLst xmlns:c16r2="http://schemas.microsoft.com/office/drawing/2015/06/chart">
              <c:ext xmlns:c16="http://schemas.microsoft.com/office/drawing/2014/chart" uri="{C3380CC4-5D6E-409C-BE32-E72D297353CC}">
                <c16:uniqueId val="{0000002F-F28F-4803-9E29-5FBC986106CF}"/>
              </c:ext>
            </c:extLst>
          </c:dPt>
          <c:dPt>
            <c:idx val="49"/>
            <c:invertIfNegative val="0"/>
            <c:bubble3D val="0"/>
            <c:extLst xmlns:c16r2="http://schemas.microsoft.com/office/drawing/2015/06/chart">
              <c:ext xmlns:c16="http://schemas.microsoft.com/office/drawing/2014/chart" uri="{C3380CC4-5D6E-409C-BE32-E72D297353CC}">
                <c16:uniqueId val="{00000031-F28F-4803-9E29-5FBC986106CF}"/>
              </c:ext>
            </c:extLst>
          </c:dPt>
          <c:dPt>
            <c:idx val="51"/>
            <c:invertIfNegative val="0"/>
            <c:bubble3D val="0"/>
            <c:extLst xmlns:c16r2="http://schemas.microsoft.com/office/drawing/2015/06/chart">
              <c:ext xmlns:c16="http://schemas.microsoft.com/office/drawing/2014/chart" uri="{C3380CC4-5D6E-409C-BE32-E72D297353CC}">
                <c16:uniqueId val="{00000033-F28F-4803-9E29-5FBC986106CF}"/>
              </c:ext>
            </c:extLst>
          </c:dPt>
          <c:dPt>
            <c:idx val="53"/>
            <c:invertIfNegative val="0"/>
            <c:bubble3D val="0"/>
            <c:extLst xmlns:c16r2="http://schemas.microsoft.com/office/drawing/2015/06/chart">
              <c:ext xmlns:c16="http://schemas.microsoft.com/office/drawing/2014/chart" uri="{C3380CC4-5D6E-409C-BE32-E72D297353CC}">
                <c16:uniqueId val="{00000035-F28F-4803-9E29-5FBC986106CF}"/>
              </c:ext>
            </c:extLst>
          </c:dPt>
          <c:dPt>
            <c:idx val="55"/>
            <c:invertIfNegative val="0"/>
            <c:bubble3D val="0"/>
            <c:extLst xmlns:c16r2="http://schemas.microsoft.com/office/drawing/2015/06/chart">
              <c:ext xmlns:c16="http://schemas.microsoft.com/office/drawing/2014/chart" uri="{C3380CC4-5D6E-409C-BE32-E72D297353CC}">
                <c16:uniqueId val="{00000037-F28F-4803-9E29-5FBC986106CF}"/>
              </c:ext>
            </c:extLst>
          </c:dPt>
          <c:dPt>
            <c:idx val="57"/>
            <c:invertIfNegative val="0"/>
            <c:bubble3D val="0"/>
            <c:extLst xmlns:c16r2="http://schemas.microsoft.com/office/drawing/2015/06/chart">
              <c:ext xmlns:c16="http://schemas.microsoft.com/office/drawing/2014/chart" uri="{C3380CC4-5D6E-409C-BE32-E72D297353CC}">
                <c16:uniqueId val="{00000039-F28F-4803-9E29-5FBC986106CF}"/>
              </c:ext>
            </c:extLst>
          </c:dPt>
          <c:dLbls>
            <c:spPr>
              <a:noFill/>
              <a:ln>
                <a:noFill/>
              </a:ln>
              <a:effectLst/>
            </c:spPr>
            <c:txPr>
              <a:bodyPr rot="0" vert="horz"/>
              <a:lstStyle/>
              <a:p>
                <a:pPr>
                  <a:defRPr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multiLvlStrRef>
              <c:f>'8. ábra'!$B$2:$Q$3</c:f>
              <c:multiLvlStrCache>
                <c:ptCount val="16"/>
                <c:lvl>
                  <c:pt idx="0">
                    <c:v>MG</c:v>
                  </c:pt>
                  <c:pt idx="1">
                    <c:v>ÉLIP</c:v>
                  </c:pt>
                  <c:pt idx="2">
                    <c:v>MG</c:v>
                  </c:pt>
                  <c:pt idx="3">
                    <c:v>ÉLIP</c:v>
                  </c:pt>
                  <c:pt idx="4">
                    <c:v>MG</c:v>
                  </c:pt>
                  <c:pt idx="5">
                    <c:v>ÉLIP</c:v>
                  </c:pt>
                  <c:pt idx="6">
                    <c:v>MG</c:v>
                  </c:pt>
                  <c:pt idx="7">
                    <c:v>ÉLIP</c:v>
                  </c:pt>
                  <c:pt idx="8">
                    <c:v>MG</c:v>
                  </c:pt>
                  <c:pt idx="9">
                    <c:v>ÉLIP</c:v>
                  </c:pt>
                  <c:pt idx="10">
                    <c:v>MG</c:v>
                  </c:pt>
                  <c:pt idx="11">
                    <c:v>ÉLIP</c:v>
                  </c:pt>
                  <c:pt idx="12">
                    <c:v>MG</c:v>
                  </c:pt>
                  <c:pt idx="13">
                    <c:v>ÉLIP</c:v>
                  </c:pt>
                  <c:pt idx="14">
                    <c:v>MG</c:v>
                  </c:pt>
                  <c:pt idx="15">
                    <c:v>ÉLIP</c:v>
                  </c:pt>
                </c:lvl>
                <c:lvl>
                  <c:pt idx="0">
                    <c:v>2023.I.</c:v>
                  </c:pt>
                  <c:pt idx="2">
                    <c:v>2023.II.</c:v>
                  </c:pt>
                  <c:pt idx="4">
                    <c:v>2023.III.</c:v>
                  </c:pt>
                  <c:pt idx="6">
                    <c:v>2023. IV.</c:v>
                  </c:pt>
                  <c:pt idx="8">
                    <c:v>2024. I.</c:v>
                  </c:pt>
                  <c:pt idx="10">
                    <c:v>2024. II.</c:v>
                  </c:pt>
                  <c:pt idx="12">
                    <c:v>2024. III.</c:v>
                  </c:pt>
                  <c:pt idx="14">
                    <c:v>2024. IV.</c:v>
                  </c:pt>
                </c:lvl>
              </c:multiLvlStrCache>
            </c:multiLvlStrRef>
          </c:cat>
          <c:val>
            <c:numRef>
              <c:f>'8. ábra'!$B$4:$Q$4</c:f>
              <c:numCache>
                <c:formatCode>0.00</c:formatCode>
                <c:ptCount val="16"/>
                <c:pt idx="0">
                  <c:v>90.531217058667352</c:v>
                </c:pt>
                <c:pt idx="1">
                  <c:v>62.289050090186173</c:v>
                </c:pt>
                <c:pt idx="2">
                  <c:v>89.817138801405122</c:v>
                </c:pt>
                <c:pt idx="3">
                  <c:v>61.736979585132666</c:v>
                </c:pt>
                <c:pt idx="4">
                  <c:v>87.893967854736871</c:v>
                </c:pt>
                <c:pt idx="5">
                  <c:v>58.253138560847653</c:v>
                </c:pt>
                <c:pt idx="6">
                  <c:v>86.398075234548287</c:v>
                </c:pt>
                <c:pt idx="7">
                  <c:v>58.253138560847653</c:v>
                </c:pt>
                <c:pt idx="8" formatCode="#,##0.00">
                  <c:v>85.295132683821507</c:v>
                </c:pt>
                <c:pt idx="9" formatCode="#,##0.00">
                  <c:v>56.44271217707719</c:v>
                </c:pt>
                <c:pt idx="10" formatCode="#,##0.00">
                  <c:v>85.156348736776252</c:v>
                </c:pt>
                <c:pt idx="11" formatCode="#,##0.00">
                  <c:v>53.882758620798796</c:v>
                </c:pt>
                <c:pt idx="12" formatCode="#,##0.00">
                  <c:v>84.728666381853486</c:v>
                </c:pt>
                <c:pt idx="13" formatCode="#,##0.00">
                  <c:v>51.927066994325678</c:v>
                </c:pt>
                <c:pt idx="14" formatCode="#,##0.00">
                  <c:v>82.767674794333971</c:v>
                </c:pt>
                <c:pt idx="15" formatCode="#,##0.00">
                  <c:v>51.485628327069165</c:v>
                </c:pt>
              </c:numCache>
            </c:numRef>
          </c:val>
          <c:extLst xmlns:c16r2="http://schemas.microsoft.com/office/drawing/2015/06/chart">
            <c:ext xmlns:c16="http://schemas.microsoft.com/office/drawing/2014/chart" uri="{C3380CC4-5D6E-409C-BE32-E72D297353CC}">
              <c16:uniqueId val="{0000003A-F28F-4803-9E29-5FBC986106CF}"/>
            </c:ext>
          </c:extLst>
        </c:ser>
        <c:ser>
          <c:idx val="1"/>
          <c:order val="1"/>
          <c:tx>
            <c:strRef>
              <c:f>'8. ábra'!$A$5</c:f>
              <c:strCache>
                <c:ptCount val="1"/>
                <c:pt idx="0">
                  <c:v>Deviza %</c:v>
                </c:pt>
              </c:strCache>
            </c:strRef>
          </c:tx>
          <c:spPr>
            <a:ln>
              <a:solidFill>
                <a:schemeClr val="accent1"/>
              </a:solidFill>
            </a:ln>
          </c:spPr>
          <c:invertIfNegative val="0"/>
          <c:dPt>
            <c:idx val="1"/>
            <c:invertIfNegative val="0"/>
            <c:bubble3D val="0"/>
            <c:spPr>
              <a:solidFill>
                <a:schemeClr val="accent6">
                  <a:lumMod val="60000"/>
                  <a:lumOff val="40000"/>
                </a:schemeClr>
              </a:solidFill>
              <a:ln>
                <a:solidFill>
                  <a:schemeClr val="accent1"/>
                </a:solidFill>
              </a:ln>
            </c:spPr>
            <c:extLst xmlns:c16r2="http://schemas.microsoft.com/office/drawing/2015/06/chart">
              <c:ext xmlns:c16="http://schemas.microsoft.com/office/drawing/2014/chart" uri="{C3380CC4-5D6E-409C-BE32-E72D297353CC}">
                <c16:uniqueId val="{00000026-4FA3-0B4B-89D0-360FBEB5B5F0}"/>
              </c:ext>
            </c:extLst>
          </c:dPt>
          <c:dPt>
            <c:idx val="3"/>
            <c:invertIfNegative val="0"/>
            <c:bubble3D val="0"/>
            <c:spPr>
              <a:solidFill>
                <a:schemeClr val="accent6">
                  <a:lumMod val="60000"/>
                  <a:lumOff val="40000"/>
                </a:schemeClr>
              </a:solidFill>
              <a:ln>
                <a:solidFill>
                  <a:schemeClr val="accent1"/>
                </a:solidFill>
              </a:ln>
            </c:spPr>
            <c:extLst xmlns:c16r2="http://schemas.microsoft.com/office/drawing/2015/06/chart">
              <c:ext xmlns:c16="http://schemas.microsoft.com/office/drawing/2014/chart" uri="{C3380CC4-5D6E-409C-BE32-E72D297353CC}">
                <c16:uniqueId val="{00000028-4FA3-0B4B-89D0-360FBEB5B5F0}"/>
              </c:ext>
            </c:extLst>
          </c:dPt>
          <c:dPt>
            <c:idx val="5"/>
            <c:invertIfNegative val="0"/>
            <c:bubble3D val="0"/>
            <c:spPr>
              <a:solidFill>
                <a:schemeClr val="accent6">
                  <a:lumMod val="60000"/>
                  <a:lumOff val="40000"/>
                </a:schemeClr>
              </a:solidFill>
              <a:ln>
                <a:solidFill>
                  <a:schemeClr val="accent1"/>
                </a:solidFill>
              </a:ln>
            </c:spPr>
            <c:extLst xmlns:c16r2="http://schemas.microsoft.com/office/drawing/2015/06/chart">
              <c:ext xmlns:c16="http://schemas.microsoft.com/office/drawing/2014/chart" uri="{C3380CC4-5D6E-409C-BE32-E72D297353CC}">
                <c16:uniqueId val="{0000002A-4FA3-0B4B-89D0-360FBEB5B5F0}"/>
              </c:ext>
            </c:extLst>
          </c:dPt>
          <c:dPt>
            <c:idx val="7"/>
            <c:invertIfNegative val="0"/>
            <c:bubble3D val="0"/>
            <c:spPr>
              <a:solidFill>
                <a:schemeClr val="accent6">
                  <a:lumMod val="60000"/>
                  <a:lumOff val="40000"/>
                </a:schemeClr>
              </a:solidFill>
              <a:ln>
                <a:solidFill>
                  <a:schemeClr val="accent1"/>
                </a:solidFill>
              </a:ln>
            </c:spPr>
            <c:extLst xmlns:c16r2="http://schemas.microsoft.com/office/drawing/2015/06/chart">
              <c:ext xmlns:c16="http://schemas.microsoft.com/office/drawing/2014/chart" uri="{C3380CC4-5D6E-409C-BE32-E72D297353CC}">
                <c16:uniqueId val="{0000002C-4FA3-0B4B-89D0-360FBEB5B5F0}"/>
              </c:ext>
            </c:extLst>
          </c:dPt>
          <c:dPt>
            <c:idx val="9"/>
            <c:invertIfNegative val="0"/>
            <c:bubble3D val="0"/>
            <c:spPr>
              <a:solidFill>
                <a:schemeClr val="accent6">
                  <a:lumMod val="60000"/>
                  <a:lumOff val="40000"/>
                </a:schemeClr>
              </a:solidFill>
              <a:ln>
                <a:solidFill>
                  <a:schemeClr val="accent1"/>
                </a:solidFill>
              </a:ln>
            </c:spPr>
            <c:extLst xmlns:c16r2="http://schemas.microsoft.com/office/drawing/2015/06/chart">
              <c:ext xmlns:c16="http://schemas.microsoft.com/office/drawing/2014/chart" uri="{C3380CC4-5D6E-409C-BE32-E72D297353CC}">
                <c16:uniqueId val="{0000002E-4FA3-0B4B-89D0-360FBEB5B5F0}"/>
              </c:ext>
            </c:extLst>
          </c:dPt>
          <c:dPt>
            <c:idx val="11"/>
            <c:invertIfNegative val="0"/>
            <c:bubble3D val="0"/>
            <c:spPr>
              <a:solidFill>
                <a:schemeClr val="accent6">
                  <a:lumMod val="60000"/>
                  <a:lumOff val="40000"/>
                </a:schemeClr>
              </a:solidFill>
              <a:ln>
                <a:solidFill>
                  <a:schemeClr val="accent1"/>
                </a:solidFill>
              </a:ln>
            </c:spPr>
            <c:extLst xmlns:c16r2="http://schemas.microsoft.com/office/drawing/2015/06/chart">
              <c:ext xmlns:c16="http://schemas.microsoft.com/office/drawing/2014/chart" uri="{C3380CC4-5D6E-409C-BE32-E72D297353CC}">
                <c16:uniqueId val="{00000030-4FA3-0B4B-89D0-360FBEB5B5F0}"/>
              </c:ext>
            </c:extLst>
          </c:dPt>
          <c:dPt>
            <c:idx val="13"/>
            <c:invertIfNegative val="0"/>
            <c:bubble3D val="0"/>
            <c:spPr>
              <a:solidFill>
                <a:schemeClr val="accent6">
                  <a:lumMod val="60000"/>
                  <a:lumOff val="40000"/>
                </a:schemeClr>
              </a:solidFill>
              <a:ln>
                <a:solidFill>
                  <a:schemeClr val="accent1"/>
                </a:solidFill>
              </a:ln>
            </c:spPr>
            <c:extLst xmlns:c16r2="http://schemas.microsoft.com/office/drawing/2015/06/chart">
              <c:ext xmlns:c16="http://schemas.microsoft.com/office/drawing/2014/chart" uri="{C3380CC4-5D6E-409C-BE32-E72D297353CC}">
                <c16:uniqueId val="{00000032-4FA3-0B4B-89D0-360FBEB5B5F0}"/>
              </c:ext>
            </c:extLst>
          </c:dPt>
          <c:dPt>
            <c:idx val="15"/>
            <c:invertIfNegative val="0"/>
            <c:bubble3D val="0"/>
            <c:spPr>
              <a:solidFill>
                <a:schemeClr val="accent6">
                  <a:lumMod val="60000"/>
                  <a:lumOff val="40000"/>
                </a:schemeClr>
              </a:solidFill>
              <a:ln>
                <a:solidFill>
                  <a:schemeClr val="accent1"/>
                </a:solidFill>
              </a:ln>
            </c:spPr>
            <c:extLst xmlns:c16r2="http://schemas.microsoft.com/office/drawing/2015/06/chart">
              <c:ext xmlns:c16="http://schemas.microsoft.com/office/drawing/2014/chart" uri="{C3380CC4-5D6E-409C-BE32-E72D297353CC}">
                <c16:uniqueId val="{00000034-4FA3-0B4B-89D0-360FBEB5B5F0}"/>
              </c:ext>
            </c:extLst>
          </c:dPt>
          <c:dLbls>
            <c:spPr>
              <a:noFill/>
              <a:ln>
                <a:noFill/>
              </a:ln>
              <a:effectLst/>
            </c:spPr>
            <c:txPr>
              <a:bodyPr wrap="square" lIns="38100" tIns="19050" rIns="38100" bIns="19050" anchor="ctr">
                <a:spAutoFit/>
              </a:bodyPr>
              <a:lstStyle/>
              <a:p>
                <a:pPr>
                  <a:defRPr b="1"/>
                </a:pPr>
                <a:endParaRPr lang="hu-HU"/>
              </a:p>
            </c:txPr>
            <c:dLblPos val="inBase"/>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ext>
            </c:extLst>
          </c:dLbls>
          <c:cat>
            <c:multiLvlStrRef>
              <c:f>'8. ábra'!$B$2:$Q$3</c:f>
              <c:multiLvlStrCache>
                <c:ptCount val="16"/>
                <c:lvl>
                  <c:pt idx="0">
                    <c:v>MG</c:v>
                  </c:pt>
                  <c:pt idx="1">
                    <c:v>ÉLIP</c:v>
                  </c:pt>
                  <c:pt idx="2">
                    <c:v>MG</c:v>
                  </c:pt>
                  <c:pt idx="3">
                    <c:v>ÉLIP</c:v>
                  </c:pt>
                  <c:pt idx="4">
                    <c:v>MG</c:v>
                  </c:pt>
                  <c:pt idx="5">
                    <c:v>ÉLIP</c:v>
                  </c:pt>
                  <c:pt idx="6">
                    <c:v>MG</c:v>
                  </c:pt>
                  <c:pt idx="7">
                    <c:v>ÉLIP</c:v>
                  </c:pt>
                  <c:pt idx="8">
                    <c:v>MG</c:v>
                  </c:pt>
                  <c:pt idx="9">
                    <c:v>ÉLIP</c:v>
                  </c:pt>
                  <c:pt idx="10">
                    <c:v>MG</c:v>
                  </c:pt>
                  <c:pt idx="11">
                    <c:v>ÉLIP</c:v>
                  </c:pt>
                  <c:pt idx="12">
                    <c:v>MG</c:v>
                  </c:pt>
                  <c:pt idx="13">
                    <c:v>ÉLIP</c:v>
                  </c:pt>
                  <c:pt idx="14">
                    <c:v>MG</c:v>
                  </c:pt>
                  <c:pt idx="15">
                    <c:v>ÉLIP</c:v>
                  </c:pt>
                </c:lvl>
                <c:lvl>
                  <c:pt idx="0">
                    <c:v>2023.I.</c:v>
                  </c:pt>
                  <c:pt idx="2">
                    <c:v>2023.II.</c:v>
                  </c:pt>
                  <c:pt idx="4">
                    <c:v>2023.III.</c:v>
                  </c:pt>
                  <c:pt idx="6">
                    <c:v>2023. IV.</c:v>
                  </c:pt>
                  <c:pt idx="8">
                    <c:v>2024. I.</c:v>
                  </c:pt>
                  <c:pt idx="10">
                    <c:v>2024. II.</c:v>
                  </c:pt>
                  <c:pt idx="12">
                    <c:v>2024. III.</c:v>
                  </c:pt>
                  <c:pt idx="14">
                    <c:v>2024. IV.</c:v>
                  </c:pt>
                </c:lvl>
              </c:multiLvlStrCache>
            </c:multiLvlStrRef>
          </c:cat>
          <c:val>
            <c:numRef>
              <c:f>'8. ábra'!$B$5:$Q$5</c:f>
              <c:numCache>
                <c:formatCode>0.00</c:formatCode>
                <c:ptCount val="16"/>
                <c:pt idx="0">
                  <c:v>9.4687829413326519</c:v>
                </c:pt>
                <c:pt idx="1">
                  <c:v>37.71094990981382</c:v>
                </c:pt>
                <c:pt idx="2">
                  <c:v>10.182861198594871</c:v>
                </c:pt>
                <c:pt idx="3">
                  <c:v>38.26302041486732</c:v>
                </c:pt>
                <c:pt idx="4">
                  <c:v>12.106032145263148</c:v>
                </c:pt>
                <c:pt idx="5">
                  <c:v>41.74686143915234</c:v>
                </c:pt>
                <c:pt idx="6">
                  <c:v>13.601924765451724</c:v>
                </c:pt>
                <c:pt idx="7">
                  <c:v>41.74686143915234</c:v>
                </c:pt>
                <c:pt idx="8" formatCode="#,##0.00">
                  <c:v>14.704867316178499</c:v>
                </c:pt>
                <c:pt idx="9" formatCode="#,##0.00">
                  <c:v>43.55728782292281</c:v>
                </c:pt>
                <c:pt idx="10" formatCode="#,##0.00">
                  <c:v>14.843651263223739</c:v>
                </c:pt>
                <c:pt idx="11" formatCode="#,##0.00">
                  <c:v>46.117241379201197</c:v>
                </c:pt>
                <c:pt idx="12" formatCode="#,##0.00">
                  <c:v>15.271333618146517</c:v>
                </c:pt>
                <c:pt idx="13" formatCode="#,##0.00">
                  <c:v>48.072933005674315</c:v>
                </c:pt>
                <c:pt idx="14" formatCode="#,##0.00">
                  <c:v>17.232325205666037</c:v>
                </c:pt>
                <c:pt idx="15" formatCode="#,##0.00">
                  <c:v>48.514371672930835</c:v>
                </c:pt>
              </c:numCache>
            </c:numRef>
          </c:val>
          <c:extLst xmlns:c16r2="http://schemas.microsoft.com/office/drawing/2015/06/chart">
            <c:ext xmlns:c16="http://schemas.microsoft.com/office/drawing/2014/chart" uri="{C3380CC4-5D6E-409C-BE32-E72D297353CC}">
              <c16:uniqueId val="{0000003B-F28F-4803-9E29-5FBC986106CF}"/>
            </c:ext>
          </c:extLst>
        </c:ser>
        <c:dLbls>
          <c:dLblPos val="inBase"/>
          <c:showLegendKey val="0"/>
          <c:showVal val="1"/>
          <c:showCatName val="0"/>
          <c:showSerName val="0"/>
          <c:showPercent val="0"/>
          <c:showBubbleSize val="0"/>
        </c:dLbls>
        <c:gapWidth val="150"/>
        <c:overlap val="100"/>
        <c:axId val="442014448"/>
        <c:axId val="442021504"/>
      </c:barChart>
      <c:catAx>
        <c:axId val="442014448"/>
        <c:scaling>
          <c:orientation val="minMax"/>
        </c:scaling>
        <c:delete val="0"/>
        <c:axPos val="b"/>
        <c:numFmt formatCode="General" sourceLinked="0"/>
        <c:majorTickMark val="out"/>
        <c:minorTickMark val="none"/>
        <c:tickLblPos val="nextTo"/>
        <c:txPr>
          <a:bodyPr/>
          <a:lstStyle/>
          <a:p>
            <a:pPr>
              <a:defRPr sz="800"/>
            </a:pPr>
            <a:endParaRPr lang="hu-HU"/>
          </a:p>
        </c:txPr>
        <c:crossAx val="442021504"/>
        <c:crosses val="autoZero"/>
        <c:auto val="1"/>
        <c:lblAlgn val="ctr"/>
        <c:lblOffset val="100"/>
        <c:noMultiLvlLbl val="0"/>
      </c:catAx>
      <c:valAx>
        <c:axId val="442021504"/>
        <c:scaling>
          <c:orientation val="minMax"/>
          <c:max val="100"/>
        </c:scaling>
        <c:delete val="0"/>
        <c:axPos val="l"/>
        <c:majorGridlines/>
        <c:numFmt formatCode="0.00" sourceLinked="1"/>
        <c:majorTickMark val="out"/>
        <c:minorTickMark val="none"/>
        <c:tickLblPos val="nextTo"/>
        <c:txPr>
          <a:bodyPr/>
          <a:lstStyle/>
          <a:p>
            <a:pPr>
              <a:defRPr sz="800"/>
            </a:pPr>
            <a:endParaRPr lang="hu-HU"/>
          </a:p>
        </c:txPr>
        <c:crossAx val="442014448"/>
        <c:crosses val="autoZero"/>
        <c:crossBetween val="between"/>
      </c:valAx>
    </c:plotArea>
    <c:legend>
      <c:legendPos val="b"/>
      <c:layout>
        <c:manualLayout>
          <c:xMode val="edge"/>
          <c:yMode val="edge"/>
          <c:x val="0.44247972109076428"/>
          <c:y val="0.94189962497572055"/>
          <c:w val="0.23258121613848376"/>
          <c:h val="4.2920109369630505E-2"/>
        </c:manualLayout>
      </c:layout>
      <c:overlay val="0"/>
      <c:txPr>
        <a:bodyPr/>
        <a:lstStyle/>
        <a:p>
          <a:pPr>
            <a:defRPr sz="1000"/>
          </a:pPr>
          <a:endParaRPr lang="hu-HU"/>
        </a:p>
      </c:txPr>
    </c:legend>
    <c:plotVisOnly val="1"/>
    <c:dispBlanksAs val="gap"/>
    <c:showDLblsOverMax val="0"/>
  </c:chart>
  <c:spPr>
    <a:ln>
      <a:noFill/>
    </a:ln>
  </c:spPr>
  <c:txPr>
    <a:bodyPr/>
    <a:lstStyle/>
    <a:p>
      <a:pPr>
        <a:defRPr sz="800">
          <a:latin typeface="Times New Roman" panose="02020603050405020304" pitchFamily="18" charset="0"/>
          <a:cs typeface="Times New Roman" panose="02020603050405020304" pitchFamily="18" charset="0"/>
        </a:defRPr>
      </a:pPr>
      <a:endParaRPr lang="hu-H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'8. ábra'!$A$11</c:f>
              <c:strCache>
                <c:ptCount val="1"/>
                <c:pt idx="0">
                  <c:v>Deviza %</c:v>
                </c:pt>
              </c:strCache>
            </c:strRef>
          </c:tx>
          <c:spPr>
            <a:ln w="28575" cap="rnd">
              <a:solidFill>
                <a:schemeClr val="accent2"/>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ábra'!$B$8:$I$9</c:f>
              <c:multiLvlStrCache>
                <c:ptCount val="8"/>
                <c:lvl>
                  <c:pt idx="0">
                    <c:v>MG</c:v>
                  </c:pt>
                  <c:pt idx="1">
                    <c:v>MG</c:v>
                  </c:pt>
                  <c:pt idx="2">
                    <c:v>MG</c:v>
                  </c:pt>
                  <c:pt idx="3">
                    <c:v>MG</c:v>
                  </c:pt>
                  <c:pt idx="4">
                    <c:v>MG</c:v>
                  </c:pt>
                  <c:pt idx="5">
                    <c:v>MG</c:v>
                  </c:pt>
                  <c:pt idx="6">
                    <c:v>MG</c:v>
                  </c:pt>
                  <c:pt idx="7">
                    <c:v>MG</c:v>
                  </c:pt>
                </c:lvl>
                <c:lvl>
                  <c:pt idx="0">
                    <c:v>2023.I.</c:v>
                  </c:pt>
                  <c:pt idx="1">
                    <c:v>2023.II.</c:v>
                  </c:pt>
                  <c:pt idx="2">
                    <c:v>2023.III.</c:v>
                  </c:pt>
                  <c:pt idx="3">
                    <c:v>2023. IV.</c:v>
                  </c:pt>
                  <c:pt idx="4">
                    <c:v>2024. I.</c:v>
                  </c:pt>
                  <c:pt idx="5">
                    <c:v>2024. II.</c:v>
                  </c:pt>
                  <c:pt idx="6">
                    <c:v>2024. III.</c:v>
                  </c:pt>
                  <c:pt idx="7">
                    <c:v>2024. IV.</c:v>
                  </c:pt>
                </c:lvl>
              </c:multiLvlStrCache>
            </c:multiLvlStrRef>
          </c:cat>
          <c:val>
            <c:numRef>
              <c:f>'8. ábra'!$B$11:$I$11</c:f>
              <c:numCache>
                <c:formatCode>0.00</c:formatCode>
                <c:ptCount val="8"/>
                <c:pt idx="0">
                  <c:v>9.4687829413326519</c:v>
                </c:pt>
                <c:pt idx="1">
                  <c:v>10.182861198594871</c:v>
                </c:pt>
                <c:pt idx="2">
                  <c:v>12.106032145263148</c:v>
                </c:pt>
                <c:pt idx="3">
                  <c:v>13.601924765451724</c:v>
                </c:pt>
                <c:pt idx="4" formatCode="#,##0.00">
                  <c:v>14.704867316178499</c:v>
                </c:pt>
                <c:pt idx="5" formatCode="#,##0.00">
                  <c:v>14.843651263223739</c:v>
                </c:pt>
                <c:pt idx="6" formatCode="#,##0.00">
                  <c:v>15.271333618146517</c:v>
                </c:pt>
                <c:pt idx="7" formatCode="#,##0.00">
                  <c:v>17.232325205666037</c:v>
                </c:pt>
              </c:numCache>
            </c:numRef>
          </c:val>
          <c:smooth val="0"/>
          <c:extLst xmlns:c16r2="http://schemas.microsoft.com/office/drawing/2015/06/chart">
            <c:ext xmlns:c16="http://schemas.microsoft.com/office/drawing/2014/chart" uri="{C3380CC4-5D6E-409C-BE32-E72D297353CC}">
              <c16:uniqueId val="{00000000-C2F3-E142-94D8-441410D831DF}"/>
            </c:ext>
          </c:extLst>
        </c:ser>
        <c:dLbls>
          <c:showLegendKey val="0"/>
          <c:showVal val="0"/>
          <c:showCatName val="0"/>
          <c:showSerName val="0"/>
          <c:showPercent val="0"/>
          <c:showBubbleSize val="0"/>
        </c:dLbls>
        <c:smooth val="0"/>
        <c:axId val="442025032"/>
        <c:axId val="434495992"/>
      </c:lineChart>
      <c:catAx>
        <c:axId val="442025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434495992"/>
        <c:crosses val="autoZero"/>
        <c:auto val="1"/>
        <c:lblAlgn val="ctr"/>
        <c:lblOffset val="100"/>
        <c:noMultiLvlLbl val="0"/>
      </c:catAx>
      <c:valAx>
        <c:axId val="434495992"/>
        <c:scaling>
          <c:orientation val="minMax"/>
          <c:min val="9"/>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442025032"/>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4">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1"/>
          <c:order val="0"/>
          <c:tx>
            <c:strRef>
              <c:f>'8. ábra'!$A$16</c:f>
              <c:strCache>
                <c:ptCount val="1"/>
                <c:pt idx="0">
                  <c:v>Deviza %</c:v>
                </c:pt>
              </c:strCache>
            </c:strRef>
          </c:tx>
          <c:spPr>
            <a:ln w="28575" cap="rnd">
              <a:solidFill>
                <a:schemeClr val="accent1"/>
              </a:solidFill>
              <a:round/>
            </a:ln>
            <a:effectLst/>
          </c:spPr>
          <c:marker>
            <c:symbol val="none"/>
          </c:marker>
          <c:dLbls>
            <c:spPr>
              <a:noFill/>
              <a:ln>
                <a:noFill/>
              </a:ln>
              <a:effectLst/>
            </c:spPr>
            <c:txPr>
              <a:bodyPr rot="0" spcFirstLastPara="1" vertOverflow="ellipsis" vert="horz" wrap="square" lIns="38100" tIns="19050" rIns="38100" bIns="19050" anchor="ctr" anchorCtr="1">
                <a:spAutoFit/>
              </a:bodyPr>
              <a:lstStyle/>
              <a:p>
                <a:pPr>
                  <a:defRPr sz="650" b="1"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multiLvlStrRef>
              <c:f>'8. ábra'!$B$13:$I$14</c:f>
              <c:multiLvlStrCache>
                <c:ptCount val="8"/>
                <c:lvl>
                  <c:pt idx="0">
                    <c:v>ÉLIP</c:v>
                  </c:pt>
                  <c:pt idx="1">
                    <c:v>ÉLIP</c:v>
                  </c:pt>
                  <c:pt idx="2">
                    <c:v>ÉLIP</c:v>
                  </c:pt>
                  <c:pt idx="3">
                    <c:v>ÉLIP</c:v>
                  </c:pt>
                  <c:pt idx="4">
                    <c:v>ÉLIP</c:v>
                  </c:pt>
                  <c:pt idx="5">
                    <c:v>ÉLIP</c:v>
                  </c:pt>
                  <c:pt idx="6">
                    <c:v>ÉLIP</c:v>
                  </c:pt>
                  <c:pt idx="7">
                    <c:v>ÉLIP</c:v>
                  </c:pt>
                </c:lvl>
                <c:lvl>
                  <c:pt idx="0">
                    <c:v>2023.I.</c:v>
                  </c:pt>
                  <c:pt idx="1">
                    <c:v>2023.II.</c:v>
                  </c:pt>
                  <c:pt idx="2">
                    <c:v>2023.III.</c:v>
                  </c:pt>
                  <c:pt idx="3">
                    <c:v>2023. IV.</c:v>
                  </c:pt>
                  <c:pt idx="4">
                    <c:v>2024. I.</c:v>
                  </c:pt>
                  <c:pt idx="5">
                    <c:v>2024. II.</c:v>
                  </c:pt>
                  <c:pt idx="6">
                    <c:v>2024. III.</c:v>
                  </c:pt>
                  <c:pt idx="7">
                    <c:v>2024. IV.</c:v>
                  </c:pt>
                </c:lvl>
              </c:multiLvlStrCache>
            </c:multiLvlStrRef>
          </c:cat>
          <c:val>
            <c:numRef>
              <c:f>'8. ábra'!$B$16:$I$16</c:f>
              <c:numCache>
                <c:formatCode>0.00</c:formatCode>
                <c:ptCount val="8"/>
                <c:pt idx="0">
                  <c:v>37.71094990981382</c:v>
                </c:pt>
                <c:pt idx="1">
                  <c:v>38.26302041486732</c:v>
                </c:pt>
                <c:pt idx="2">
                  <c:v>41.74686143915234</c:v>
                </c:pt>
                <c:pt idx="3">
                  <c:v>41.74686143915234</c:v>
                </c:pt>
                <c:pt idx="4" formatCode="#,##0.00">
                  <c:v>43.55728782292281</c:v>
                </c:pt>
                <c:pt idx="5" formatCode="#,##0.00">
                  <c:v>46.117241379201197</c:v>
                </c:pt>
                <c:pt idx="6" formatCode="#,##0.00">
                  <c:v>48.072933005674315</c:v>
                </c:pt>
                <c:pt idx="7" formatCode="#,##0.00">
                  <c:v>48.514371672930835</c:v>
                </c:pt>
              </c:numCache>
            </c:numRef>
          </c:val>
          <c:smooth val="0"/>
          <c:extLst xmlns:c16r2="http://schemas.microsoft.com/office/drawing/2015/06/chart">
            <c:ext xmlns:c16="http://schemas.microsoft.com/office/drawing/2014/chart" uri="{C3380CC4-5D6E-409C-BE32-E72D297353CC}">
              <c16:uniqueId val="{00000000-0203-AD42-A47C-B3C738151C87}"/>
            </c:ext>
          </c:extLst>
        </c:ser>
        <c:dLbls>
          <c:showLegendKey val="0"/>
          <c:showVal val="0"/>
          <c:showCatName val="0"/>
          <c:showSerName val="0"/>
          <c:showPercent val="0"/>
          <c:showBubbleSize val="0"/>
        </c:dLbls>
        <c:smooth val="0"/>
        <c:axId val="434489720"/>
        <c:axId val="433491240"/>
      </c:lineChart>
      <c:catAx>
        <c:axId val="4344897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433491240"/>
        <c:crosses val="autoZero"/>
        <c:auto val="1"/>
        <c:lblAlgn val="ctr"/>
        <c:lblOffset val="100"/>
        <c:noMultiLvlLbl val="0"/>
      </c:catAx>
      <c:valAx>
        <c:axId val="433491240"/>
        <c:scaling>
          <c:orientation val="minMax"/>
          <c:min val="35"/>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8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hu-HU"/>
          </a:p>
        </c:txPr>
        <c:crossAx val="4344897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sz="800">
          <a:solidFill>
            <a:sysClr val="windowText" lastClr="000000"/>
          </a:solidFill>
          <a:latin typeface="Times New Roman" panose="02020603050405020304" pitchFamily="18" charset="0"/>
          <a:cs typeface="Times New Roman" panose="02020603050405020304" pitchFamily="18" charset="0"/>
        </a:defRPr>
      </a:pPr>
      <a:endParaRPr lang="hu-HU"/>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336DA44-15A2-4B68-B64C-7958DC2DDEC3}" type="doc">
      <dgm:prSet loTypeId="urn:microsoft.com/office/officeart/2005/8/layout/orgChart1" loCatId="hierarchy" qsTypeId="urn:microsoft.com/office/officeart/2005/8/quickstyle/simple3" qsCatId="simple" csTypeId="urn:microsoft.com/office/officeart/2005/8/colors/accent0_1" csCatId="mainScheme" phldr="1"/>
      <dgm:spPr/>
      <dgm:t>
        <a:bodyPr/>
        <a:lstStyle/>
        <a:p>
          <a:endParaRPr lang="hu-HU"/>
        </a:p>
      </dgm:t>
    </dgm:pt>
    <dgm:pt modelId="{0CFF8437-FFA7-43B1-B017-47D403555610}">
      <dgm:prSet phldrT="[Szöveg]" custT="1"/>
      <dgm:spPr/>
      <dgm:t>
        <a:bodyPr/>
        <a:lstStyle/>
        <a:p>
          <a:r>
            <a:rPr lang="hu-HU" sz="950" b="1">
              <a:latin typeface="Times New Roman" panose="02020603050405020304" pitchFamily="18" charset="0"/>
              <a:cs typeface="Times New Roman" panose="02020603050405020304" pitchFamily="18" charset="0"/>
            </a:rPr>
            <a:t>Agrárgazdaság hitelállománya</a:t>
          </a:r>
        </a:p>
        <a:p>
          <a:r>
            <a:rPr lang="hu-HU" sz="1000">
              <a:latin typeface="Times New Roman" panose="02020603050405020304" pitchFamily="18" charset="0"/>
              <a:cs typeface="Times New Roman" panose="02020603050405020304" pitchFamily="18" charset="0"/>
            </a:rPr>
            <a:t>1 804,2 millárd Ft</a:t>
          </a:r>
        </a:p>
      </dgm:t>
    </dgm:pt>
    <dgm:pt modelId="{446AC42D-3951-4CA1-818C-78A76207CA27}" type="parTrans" cxnId="{8A04296D-B6AD-42F3-A8C9-24C6325A8A30}">
      <dgm:prSet/>
      <dgm:spPr/>
      <dgm:t>
        <a:bodyPr/>
        <a:lstStyle/>
        <a:p>
          <a:endParaRPr lang="hu-HU" sz="1000">
            <a:latin typeface="Times New Roman" panose="02020603050405020304" pitchFamily="18" charset="0"/>
            <a:cs typeface="Times New Roman" panose="02020603050405020304" pitchFamily="18" charset="0"/>
          </a:endParaRPr>
        </a:p>
      </dgm:t>
    </dgm:pt>
    <dgm:pt modelId="{6977DFEA-CE60-4500-9EEA-82992C4CB2C5}" type="sibTrans" cxnId="{8A04296D-B6AD-42F3-A8C9-24C6325A8A30}">
      <dgm:prSet/>
      <dgm:spPr/>
      <dgm:t>
        <a:bodyPr/>
        <a:lstStyle/>
        <a:p>
          <a:endParaRPr lang="hu-HU" sz="1000">
            <a:latin typeface="Times New Roman" panose="02020603050405020304" pitchFamily="18" charset="0"/>
            <a:cs typeface="Times New Roman" panose="02020603050405020304" pitchFamily="18" charset="0"/>
          </a:endParaRPr>
        </a:p>
      </dgm:t>
    </dgm:pt>
    <dgm:pt modelId="{929D6CAF-9772-4924-BCD6-81D0FEE0B31C}" type="asst">
      <dgm:prSet phldrT="[Szöveg]" custT="1"/>
      <dgm:spPr>
        <a:solidFill>
          <a:schemeClr val="accent6">
            <a:lumMod val="20000"/>
            <a:lumOff val="80000"/>
          </a:schemeClr>
        </a:solidFill>
      </dgm:spPr>
      <dgm:t>
        <a:bodyPr/>
        <a:lstStyle/>
        <a:p>
          <a:r>
            <a:rPr lang="hu-HU" sz="950" b="1">
              <a:latin typeface="Times New Roman" panose="02020603050405020304" pitchFamily="18" charset="0"/>
              <a:cs typeface="Times New Roman" panose="02020603050405020304" pitchFamily="18" charset="0"/>
            </a:rPr>
            <a:t>Mezőgazdaság hitelállománya</a:t>
          </a:r>
        </a:p>
        <a:p>
          <a:r>
            <a:rPr lang="hu-HU" sz="1000">
              <a:latin typeface="Times New Roman" panose="02020603050405020304" pitchFamily="18" charset="0"/>
              <a:cs typeface="Times New Roman" panose="02020603050405020304" pitchFamily="18" charset="0"/>
            </a:rPr>
            <a:t>1 048,2 milliárd Ft (58,1%)</a:t>
          </a:r>
        </a:p>
      </dgm:t>
    </dgm:pt>
    <dgm:pt modelId="{EDF2AA9E-DB4E-4A8B-A34A-CFEE9C37CC8E}" type="parTrans" cxnId="{4CFCC7A0-2199-4400-A4DB-4B3F0714A70B}">
      <dgm:prSet/>
      <dgm:spPr/>
      <dgm:t>
        <a:bodyPr/>
        <a:lstStyle/>
        <a:p>
          <a:endParaRPr lang="hu-HU" sz="1000">
            <a:latin typeface="Times New Roman" panose="02020603050405020304" pitchFamily="18" charset="0"/>
            <a:cs typeface="Times New Roman" panose="02020603050405020304" pitchFamily="18" charset="0"/>
          </a:endParaRPr>
        </a:p>
      </dgm:t>
    </dgm:pt>
    <dgm:pt modelId="{ADF6124C-8E8C-4B94-B41E-3A0D205FB653}" type="sibTrans" cxnId="{4CFCC7A0-2199-4400-A4DB-4B3F0714A70B}">
      <dgm:prSet/>
      <dgm:spPr/>
      <dgm:t>
        <a:bodyPr/>
        <a:lstStyle/>
        <a:p>
          <a:endParaRPr lang="hu-HU" sz="1000">
            <a:latin typeface="Times New Roman" panose="02020603050405020304" pitchFamily="18" charset="0"/>
            <a:cs typeface="Times New Roman" panose="02020603050405020304" pitchFamily="18" charset="0"/>
          </a:endParaRPr>
        </a:p>
      </dgm:t>
    </dgm:pt>
    <dgm:pt modelId="{22848012-8190-4BA8-9005-5D760552F1C2}" type="asst">
      <dgm:prSet phldrT="[Szöveg]" custT="1"/>
      <dgm:spPr>
        <a:solidFill>
          <a:schemeClr val="accent5">
            <a:lumMod val="20000"/>
            <a:lumOff val="80000"/>
          </a:schemeClr>
        </a:solidFill>
      </dgm:spPr>
      <dgm:t>
        <a:bodyPr/>
        <a:lstStyle/>
        <a:p>
          <a:r>
            <a:rPr lang="hu-HU" sz="950" b="1">
              <a:latin typeface="Times New Roman" panose="02020603050405020304" pitchFamily="18" charset="0"/>
              <a:cs typeface="Times New Roman" panose="02020603050405020304" pitchFamily="18" charset="0"/>
            </a:rPr>
            <a:t>Élelmiszeripar hitelállománya</a:t>
          </a:r>
        </a:p>
        <a:p>
          <a:r>
            <a:rPr lang="hu-HU" sz="1000">
              <a:latin typeface="Times New Roman" panose="02020603050405020304" pitchFamily="18" charset="0"/>
              <a:cs typeface="Times New Roman" panose="02020603050405020304" pitchFamily="18" charset="0"/>
            </a:rPr>
            <a:t>756,0 milliárd Ft (41,9%)</a:t>
          </a:r>
        </a:p>
      </dgm:t>
    </dgm:pt>
    <dgm:pt modelId="{86B293CC-40F5-4B3A-93AA-275490C22E98}" type="parTrans" cxnId="{6ACF1257-DBAD-488F-A162-1D3DC442D618}">
      <dgm:prSet/>
      <dgm:spPr/>
      <dgm:t>
        <a:bodyPr/>
        <a:lstStyle/>
        <a:p>
          <a:endParaRPr lang="hu-HU" sz="1000"/>
        </a:p>
      </dgm:t>
    </dgm:pt>
    <dgm:pt modelId="{0E4B8A0F-71CA-48BA-9AE2-FF7C0CBA8512}" type="sibTrans" cxnId="{6ACF1257-DBAD-488F-A162-1D3DC442D618}">
      <dgm:prSet/>
      <dgm:spPr/>
      <dgm:t>
        <a:bodyPr/>
        <a:lstStyle/>
        <a:p>
          <a:endParaRPr lang="hu-HU" sz="1000"/>
        </a:p>
      </dgm:t>
    </dgm:pt>
    <dgm:pt modelId="{E7AB8F70-3D8C-4A0D-A9C6-63D761202FE7}" type="asst">
      <dgm:prSet phldrT="[Szöveg]" custT="1"/>
      <dgm:spPr>
        <a:solidFill>
          <a:schemeClr val="accent6">
            <a:lumMod val="20000"/>
            <a:lumOff val="80000"/>
          </a:schemeClr>
        </a:solidFill>
      </dgm:spPr>
      <dgm:t>
        <a:bodyPr/>
        <a:lstStyle/>
        <a:p>
          <a:r>
            <a:rPr lang="hu-HU" sz="950" b="1">
              <a:latin typeface="Times New Roman" panose="02020603050405020304" pitchFamily="18" charset="0"/>
              <a:cs typeface="Times New Roman" panose="02020603050405020304" pitchFamily="18" charset="0"/>
            </a:rPr>
            <a:t>Egyéni gazdaságok hitelállománya</a:t>
          </a:r>
        </a:p>
        <a:p>
          <a:r>
            <a:rPr lang="hu-HU" sz="1000">
              <a:latin typeface="Times New Roman" panose="02020603050405020304" pitchFamily="18" charset="0"/>
              <a:cs typeface="Times New Roman" panose="02020603050405020304" pitchFamily="18" charset="0"/>
            </a:rPr>
            <a:t>375,8 milliárd Ft (35,9%)</a:t>
          </a:r>
        </a:p>
      </dgm:t>
    </dgm:pt>
    <dgm:pt modelId="{7C1D3A7A-C2FF-4AB0-89E8-6B17CD984F8C}" type="parTrans" cxnId="{C4A0F5F4-1008-4684-844E-AEB8FED02559}">
      <dgm:prSet/>
      <dgm:spPr/>
      <dgm:t>
        <a:bodyPr/>
        <a:lstStyle/>
        <a:p>
          <a:endParaRPr lang="hu-HU" sz="1000"/>
        </a:p>
      </dgm:t>
    </dgm:pt>
    <dgm:pt modelId="{2D548878-895C-4FC6-9534-B9515B24B2EB}" type="sibTrans" cxnId="{C4A0F5F4-1008-4684-844E-AEB8FED02559}">
      <dgm:prSet/>
      <dgm:spPr/>
      <dgm:t>
        <a:bodyPr/>
        <a:lstStyle/>
        <a:p>
          <a:endParaRPr lang="hu-HU" sz="1000"/>
        </a:p>
      </dgm:t>
    </dgm:pt>
    <dgm:pt modelId="{D1ED2297-4CDF-4792-8A64-7C53FC12F030}" type="asst">
      <dgm:prSet phldrT="[Szöveg]" custT="1"/>
      <dgm:spPr>
        <a:solidFill>
          <a:schemeClr val="accent6">
            <a:lumMod val="20000"/>
            <a:lumOff val="80000"/>
          </a:schemeClr>
        </a:solidFill>
      </dgm:spPr>
      <dgm:t>
        <a:bodyPr/>
        <a:lstStyle/>
        <a:p>
          <a:r>
            <a:rPr lang="hu-HU" sz="950" b="1">
              <a:latin typeface="Times New Roman" panose="02020603050405020304" pitchFamily="18" charset="0"/>
              <a:cs typeface="Times New Roman" panose="02020603050405020304" pitchFamily="18" charset="0"/>
            </a:rPr>
            <a:t>Gazdálkodó szervezetek hitelálloánya</a:t>
          </a:r>
        </a:p>
        <a:p>
          <a:r>
            <a:rPr lang="hu-HU" sz="1000">
              <a:latin typeface="Times New Roman" panose="02020603050405020304" pitchFamily="18" charset="0"/>
              <a:cs typeface="Times New Roman" panose="02020603050405020304" pitchFamily="18" charset="0"/>
            </a:rPr>
            <a:t>672,4 milliárd Ft (64,1%)</a:t>
          </a:r>
        </a:p>
      </dgm:t>
    </dgm:pt>
    <dgm:pt modelId="{E625147A-AE42-41AE-947E-C42A634EB67D}" type="parTrans" cxnId="{DC3F1EE8-B180-4B19-919C-1A1EAA81CF8E}">
      <dgm:prSet/>
      <dgm:spPr/>
      <dgm:t>
        <a:bodyPr/>
        <a:lstStyle/>
        <a:p>
          <a:endParaRPr lang="hu-HU" sz="1000"/>
        </a:p>
      </dgm:t>
    </dgm:pt>
    <dgm:pt modelId="{C64367FD-CEC3-49F2-AC69-A9B87258544F}" type="sibTrans" cxnId="{DC3F1EE8-B180-4B19-919C-1A1EAA81CF8E}">
      <dgm:prSet/>
      <dgm:spPr/>
      <dgm:t>
        <a:bodyPr/>
        <a:lstStyle/>
        <a:p>
          <a:endParaRPr lang="hu-HU" sz="1000"/>
        </a:p>
      </dgm:t>
    </dgm:pt>
    <dgm:pt modelId="{C7E999C0-5B2B-41C3-A1A4-0234309902EA}" type="asst">
      <dgm:prSet phldrT="[Szöveg]" custT="1"/>
      <dgm:spPr>
        <a:solidFill>
          <a:schemeClr val="accent5">
            <a:lumMod val="20000"/>
            <a:lumOff val="80000"/>
          </a:schemeClr>
        </a:solidFill>
      </dgm:spPr>
      <dgm:t>
        <a:bodyPr/>
        <a:lstStyle/>
        <a:p>
          <a:r>
            <a:rPr lang="hu-HU" sz="950" b="1">
              <a:latin typeface="Times New Roman" panose="02020603050405020304" pitchFamily="18" charset="0"/>
              <a:cs typeface="Times New Roman" panose="02020603050405020304" pitchFamily="18" charset="0"/>
            </a:rPr>
            <a:t>Egyéni gazdaságok hitelállománya</a:t>
          </a:r>
        </a:p>
        <a:p>
          <a:r>
            <a:rPr lang="hu-HU" sz="1000">
              <a:latin typeface="Times New Roman" panose="02020603050405020304" pitchFamily="18" charset="0"/>
              <a:cs typeface="Times New Roman" panose="02020603050405020304" pitchFamily="18" charset="0"/>
            </a:rPr>
            <a:t> 5,4 milliárd Ft (0,7%)</a:t>
          </a:r>
        </a:p>
      </dgm:t>
    </dgm:pt>
    <dgm:pt modelId="{072613A6-D0A9-4053-AE11-CA54B33354CB}" type="parTrans" cxnId="{91A629EC-7F81-4D28-BDAE-983954D93AD4}">
      <dgm:prSet/>
      <dgm:spPr/>
      <dgm:t>
        <a:bodyPr/>
        <a:lstStyle/>
        <a:p>
          <a:endParaRPr lang="hu-HU" sz="1000"/>
        </a:p>
      </dgm:t>
    </dgm:pt>
    <dgm:pt modelId="{EC41A587-A2EF-4ABE-BDCB-852EB5D8045D}" type="sibTrans" cxnId="{91A629EC-7F81-4D28-BDAE-983954D93AD4}">
      <dgm:prSet/>
      <dgm:spPr/>
      <dgm:t>
        <a:bodyPr/>
        <a:lstStyle/>
        <a:p>
          <a:endParaRPr lang="hu-HU" sz="1000"/>
        </a:p>
      </dgm:t>
    </dgm:pt>
    <dgm:pt modelId="{D819E39D-067E-4302-B89B-6970F70E3EA5}" type="asst">
      <dgm:prSet phldrT="[Szöveg]" custT="1"/>
      <dgm:spPr>
        <a:solidFill>
          <a:schemeClr val="accent5">
            <a:lumMod val="20000"/>
            <a:lumOff val="80000"/>
          </a:schemeClr>
        </a:solidFill>
      </dgm:spPr>
      <dgm:t>
        <a:bodyPr/>
        <a:lstStyle/>
        <a:p>
          <a:r>
            <a:rPr lang="hu-HU" sz="950" b="1">
              <a:latin typeface="Times New Roman" panose="02020603050405020304" pitchFamily="18" charset="0"/>
              <a:cs typeface="Times New Roman" panose="02020603050405020304" pitchFamily="18" charset="0"/>
            </a:rPr>
            <a:t>Gazdálkodó szervezetek hitelállománya</a:t>
          </a:r>
        </a:p>
        <a:p>
          <a:r>
            <a:rPr lang="hu-HU" sz="1000">
              <a:latin typeface="Times New Roman" panose="02020603050405020304" pitchFamily="18" charset="0"/>
              <a:cs typeface="Times New Roman" panose="02020603050405020304" pitchFamily="18" charset="0"/>
            </a:rPr>
            <a:t> 756,6 milliárd Ft (99,3%)</a:t>
          </a:r>
        </a:p>
      </dgm:t>
    </dgm:pt>
    <dgm:pt modelId="{B7E3B051-9274-4E17-9C0E-25B365C50497}" type="parTrans" cxnId="{0B9EA1DF-2C69-497F-8651-66FCD053245F}">
      <dgm:prSet/>
      <dgm:spPr/>
      <dgm:t>
        <a:bodyPr/>
        <a:lstStyle/>
        <a:p>
          <a:endParaRPr lang="hu-HU" sz="1000"/>
        </a:p>
      </dgm:t>
    </dgm:pt>
    <dgm:pt modelId="{AE46DAB8-65F6-45EC-9907-84F55A316A79}" type="sibTrans" cxnId="{0B9EA1DF-2C69-497F-8651-66FCD053245F}">
      <dgm:prSet/>
      <dgm:spPr/>
      <dgm:t>
        <a:bodyPr/>
        <a:lstStyle/>
        <a:p>
          <a:endParaRPr lang="hu-HU" sz="1000"/>
        </a:p>
      </dgm:t>
    </dgm:pt>
    <dgm:pt modelId="{5A65CA94-0E33-4E62-B811-E9B3C4A9A5F3}" type="pres">
      <dgm:prSet presAssocID="{E336DA44-15A2-4B68-B64C-7958DC2DDEC3}" presName="hierChild1" presStyleCnt="0">
        <dgm:presLayoutVars>
          <dgm:orgChart val="1"/>
          <dgm:chPref val="1"/>
          <dgm:dir/>
          <dgm:animOne val="branch"/>
          <dgm:animLvl val="lvl"/>
          <dgm:resizeHandles/>
        </dgm:presLayoutVars>
      </dgm:prSet>
      <dgm:spPr/>
      <dgm:t>
        <a:bodyPr/>
        <a:lstStyle/>
        <a:p>
          <a:endParaRPr lang="hu-HU"/>
        </a:p>
      </dgm:t>
    </dgm:pt>
    <dgm:pt modelId="{628FCBAC-83EE-4AEE-9AD8-58114930AE2F}" type="pres">
      <dgm:prSet presAssocID="{0CFF8437-FFA7-43B1-B017-47D403555610}" presName="hierRoot1" presStyleCnt="0">
        <dgm:presLayoutVars>
          <dgm:hierBranch val="init"/>
        </dgm:presLayoutVars>
      </dgm:prSet>
      <dgm:spPr/>
    </dgm:pt>
    <dgm:pt modelId="{07547DEA-AB4F-4A76-82F8-469819A34306}" type="pres">
      <dgm:prSet presAssocID="{0CFF8437-FFA7-43B1-B017-47D403555610}" presName="rootComposite1" presStyleCnt="0"/>
      <dgm:spPr/>
    </dgm:pt>
    <dgm:pt modelId="{D4F9D998-4DD1-48C1-8692-887A2F2DC82C}" type="pres">
      <dgm:prSet presAssocID="{0CFF8437-FFA7-43B1-B017-47D403555610}" presName="rootText1" presStyleLbl="node0" presStyleIdx="0" presStyleCnt="1" custScaleX="152495" custScaleY="119750">
        <dgm:presLayoutVars>
          <dgm:chPref val="3"/>
        </dgm:presLayoutVars>
      </dgm:prSet>
      <dgm:spPr/>
      <dgm:t>
        <a:bodyPr/>
        <a:lstStyle/>
        <a:p>
          <a:endParaRPr lang="hu-HU"/>
        </a:p>
      </dgm:t>
    </dgm:pt>
    <dgm:pt modelId="{18F2DACC-2164-488B-BD71-DA77A5A855D9}" type="pres">
      <dgm:prSet presAssocID="{0CFF8437-FFA7-43B1-B017-47D403555610}" presName="rootConnector1" presStyleLbl="node1" presStyleIdx="0" presStyleCnt="0"/>
      <dgm:spPr/>
      <dgm:t>
        <a:bodyPr/>
        <a:lstStyle/>
        <a:p>
          <a:endParaRPr lang="hu-HU"/>
        </a:p>
      </dgm:t>
    </dgm:pt>
    <dgm:pt modelId="{4E2B1BF4-C1AF-4811-828D-5BA74F74B61C}" type="pres">
      <dgm:prSet presAssocID="{0CFF8437-FFA7-43B1-B017-47D403555610}" presName="hierChild2" presStyleCnt="0"/>
      <dgm:spPr/>
    </dgm:pt>
    <dgm:pt modelId="{FBB27EEC-CEED-4AD9-9150-43B7B8A005BF}" type="pres">
      <dgm:prSet presAssocID="{0CFF8437-FFA7-43B1-B017-47D403555610}" presName="hierChild3" presStyleCnt="0"/>
      <dgm:spPr/>
    </dgm:pt>
    <dgm:pt modelId="{C4C9C172-FC75-4554-962D-FD3CCEBA8F67}" type="pres">
      <dgm:prSet presAssocID="{EDF2AA9E-DB4E-4A8B-A34A-CFEE9C37CC8E}" presName="Name111" presStyleLbl="parChTrans1D2" presStyleIdx="0" presStyleCnt="2"/>
      <dgm:spPr/>
      <dgm:t>
        <a:bodyPr/>
        <a:lstStyle/>
        <a:p>
          <a:endParaRPr lang="hu-HU"/>
        </a:p>
      </dgm:t>
    </dgm:pt>
    <dgm:pt modelId="{B81BEA0D-DDCE-495D-9A84-400EEB0EFE63}" type="pres">
      <dgm:prSet presAssocID="{929D6CAF-9772-4924-BCD6-81D0FEE0B31C}" presName="hierRoot3" presStyleCnt="0">
        <dgm:presLayoutVars>
          <dgm:hierBranch val="init"/>
        </dgm:presLayoutVars>
      </dgm:prSet>
      <dgm:spPr/>
    </dgm:pt>
    <dgm:pt modelId="{EB1A5413-2860-40C8-B297-5DA1E33E492E}" type="pres">
      <dgm:prSet presAssocID="{929D6CAF-9772-4924-BCD6-81D0FEE0B31C}" presName="rootComposite3" presStyleCnt="0"/>
      <dgm:spPr/>
    </dgm:pt>
    <dgm:pt modelId="{885D38CD-EA9E-4C54-B674-931A750DBB7E}" type="pres">
      <dgm:prSet presAssocID="{929D6CAF-9772-4924-BCD6-81D0FEE0B31C}" presName="rootText3" presStyleLbl="asst1" presStyleIdx="0" presStyleCnt="6" custScaleX="136611" custScaleY="165837" custLinFactNeighborX="-21586" custLinFactNeighborY="-24551">
        <dgm:presLayoutVars>
          <dgm:chPref val="3"/>
        </dgm:presLayoutVars>
      </dgm:prSet>
      <dgm:spPr/>
      <dgm:t>
        <a:bodyPr/>
        <a:lstStyle/>
        <a:p>
          <a:endParaRPr lang="hu-HU"/>
        </a:p>
      </dgm:t>
    </dgm:pt>
    <dgm:pt modelId="{A4FB79D1-D016-47DC-B69A-E6E9F8B95D4C}" type="pres">
      <dgm:prSet presAssocID="{929D6CAF-9772-4924-BCD6-81D0FEE0B31C}" presName="rootConnector3" presStyleLbl="asst1" presStyleIdx="0" presStyleCnt="6"/>
      <dgm:spPr/>
      <dgm:t>
        <a:bodyPr/>
        <a:lstStyle/>
        <a:p>
          <a:endParaRPr lang="hu-HU"/>
        </a:p>
      </dgm:t>
    </dgm:pt>
    <dgm:pt modelId="{451EBFBA-38E2-4C60-A3AF-1F28A8C7B71F}" type="pres">
      <dgm:prSet presAssocID="{929D6CAF-9772-4924-BCD6-81D0FEE0B31C}" presName="hierChild6" presStyleCnt="0"/>
      <dgm:spPr/>
    </dgm:pt>
    <dgm:pt modelId="{66AFD667-2F0B-4437-8A75-0CD9F20734EB}" type="pres">
      <dgm:prSet presAssocID="{929D6CAF-9772-4924-BCD6-81D0FEE0B31C}" presName="hierChild7" presStyleCnt="0"/>
      <dgm:spPr/>
    </dgm:pt>
    <dgm:pt modelId="{537E7D88-52DB-4A9B-A22B-D3CBD38CAB28}" type="pres">
      <dgm:prSet presAssocID="{7C1D3A7A-C2FF-4AB0-89E8-6B17CD984F8C}" presName="Name111" presStyleLbl="parChTrans1D3" presStyleIdx="0" presStyleCnt="4"/>
      <dgm:spPr/>
      <dgm:t>
        <a:bodyPr/>
        <a:lstStyle/>
        <a:p>
          <a:endParaRPr lang="hu-HU"/>
        </a:p>
      </dgm:t>
    </dgm:pt>
    <dgm:pt modelId="{CAF95015-E307-4260-A125-A64DC91C4CB6}" type="pres">
      <dgm:prSet presAssocID="{E7AB8F70-3D8C-4A0D-A9C6-63D761202FE7}" presName="hierRoot3" presStyleCnt="0">
        <dgm:presLayoutVars>
          <dgm:hierBranch val="init"/>
        </dgm:presLayoutVars>
      </dgm:prSet>
      <dgm:spPr/>
    </dgm:pt>
    <dgm:pt modelId="{763E47D4-AA49-4458-951E-B1C998DADAD6}" type="pres">
      <dgm:prSet presAssocID="{E7AB8F70-3D8C-4A0D-A9C6-63D761202FE7}" presName="rootComposite3" presStyleCnt="0"/>
      <dgm:spPr/>
    </dgm:pt>
    <dgm:pt modelId="{CB27BFB3-8820-4E70-B4DE-84842159BE5A}" type="pres">
      <dgm:prSet presAssocID="{E7AB8F70-3D8C-4A0D-A9C6-63D761202FE7}" presName="rootText3" presStyleLbl="asst1" presStyleIdx="1" presStyleCnt="6" custScaleX="121841" custScaleY="181883" custLinFactNeighborX="-53344" custLinFactNeighborY="-35562">
        <dgm:presLayoutVars>
          <dgm:chPref val="3"/>
        </dgm:presLayoutVars>
      </dgm:prSet>
      <dgm:spPr/>
      <dgm:t>
        <a:bodyPr/>
        <a:lstStyle/>
        <a:p>
          <a:endParaRPr lang="hu-HU"/>
        </a:p>
      </dgm:t>
    </dgm:pt>
    <dgm:pt modelId="{38F6F417-D4D7-4EBD-BE44-9E62EB1D7285}" type="pres">
      <dgm:prSet presAssocID="{E7AB8F70-3D8C-4A0D-A9C6-63D761202FE7}" presName="rootConnector3" presStyleLbl="asst1" presStyleIdx="1" presStyleCnt="6"/>
      <dgm:spPr/>
      <dgm:t>
        <a:bodyPr/>
        <a:lstStyle/>
        <a:p>
          <a:endParaRPr lang="hu-HU"/>
        </a:p>
      </dgm:t>
    </dgm:pt>
    <dgm:pt modelId="{90B8D185-015F-43C6-87FC-EB03FFCE5065}" type="pres">
      <dgm:prSet presAssocID="{E7AB8F70-3D8C-4A0D-A9C6-63D761202FE7}" presName="hierChild6" presStyleCnt="0"/>
      <dgm:spPr/>
    </dgm:pt>
    <dgm:pt modelId="{6DAE652E-193B-4697-A75B-34F6A752ED0A}" type="pres">
      <dgm:prSet presAssocID="{E7AB8F70-3D8C-4A0D-A9C6-63D761202FE7}" presName="hierChild7" presStyleCnt="0"/>
      <dgm:spPr/>
    </dgm:pt>
    <dgm:pt modelId="{8B663581-C696-441C-9815-16C195A65614}" type="pres">
      <dgm:prSet presAssocID="{E625147A-AE42-41AE-947E-C42A634EB67D}" presName="Name111" presStyleLbl="parChTrans1D3" presStyleIdx="1" presStyleCnt="4"/>
      <dgm:spPr/>
      <dgm:t>
        <a:bodyPr/>
        <a:lstStyle/>
        <a:p>
          <a:endParaRPr lang="hu-HU"/>
        </a:p>
      </dgm:t>
    </dgm:pt>
    <dgm:pt modelId="{556E9223-015A-4C83-B5BB-9D1FC3ABF88E}" type="pres">
      <dgm:prSet presAssocID="{D1ED2297-4CDF-4792-8A64-7C53FC12F030}" presName="hierRoot3" presStyleCnt="0">
        <dgm:presLayoutVars>
          <dgm:hierBranch val="init"/>
        </dgm:presLayoutVars>
      </dgm:prSet>
      <dgm:spPr/>
    </dgm:pt>
    <dgm:pt modelId="{082827E6-D6A9-452D-86DF-FAE9C44411FE}" type="pres">
      <dgm:prSet presAssocID="{D1ED2297-4CDF-4792-8A64-7C53FC12F030}" presName="rootComposite3" presStyleCnt="0"/>
      <dgm:spPr/>
    </dgm:pt>
    <dgm:pt modelId="{11B0E417-0961-4A80-88E5-33DA693CA8CC}" type="pres">
      <dgm:prSet presAssocID="{D1ED2297-4CDF-4792-8A64-7C53FC12F030}" presName="rootText3" presStyleLbl="asst1" presStyleIdx="2" presStyleCnt="6" custScaleX="121841" custScaleY="181883" custLinFactNeighborX="5080" custLinFactNeighborY="-35562">
        <dgm:presLayoutVars>
          <dgm:chPref val="3"/>
        </dgm:presLayoutVars>
      </dgm:prSet>
      <dgm:spPr/>
      <dgm:t>
        <a:bodyPr/>
        <a:lstStyle/>
        <a:p>
          <a:endParaRPr lang="hu-HU"/>
        </a:p>
      </dgm:t>
    </dgm:pt>
    <dgm:pt modelId="{A55A6AA2-B1A6-46CF-A5ED-A490112827E5}" type="pres">
      <dgm:prSet presAssocID="{D1ED2297-4CDF-4792-8A64-7C53FC12F030}" presName="rootConnector3" presStyleLbl="asst1" presStyleIdx="2" presStyleCnt="6"/>
      <dgm:spPr/>
      <dgm:t>
        <a:bodyPr/>
        <a:lstStyle/>
        <a:p>
          <a:endParaRPr lang="hu-HU"/>
        </a:p>
      </dgm:t>
    </dgm:pt>
    <dgm:pt modelId="{E89E253C-0CC5-48A2-A7F8-AD9986A84C1C}" type="pres">
      <dgm:prSet presAssocID="{D1ED2297-4CDF-4792-8A64-7C53FC12F030}" presName="hierChild6" presStyleCnt="0"/>
      <dgm:spPr/>
    </dgm:pt>
    <dgm:pt modelId="{055AF28F-13EC-4690-B0AD-0F7132AB22DE}" type="pres">
      <dgm:prSet presAssocID="{D1ED2297-4CDF-4792-8A64-7C53FC12F030}" presName="hierChild7" presStyleCnt="0"/>
      <dgm:spPr/>
    </dgm:pt>
    <dgm:pt modelId="{90C2EE8E-C5EF-4182-AF55-45EFBC48587B}" type="pres">
      <dgm:prSet presAssocID="{86B293CC-40F5-4B3A-93AA-275490C22E98}" presName="Name111" presStyleLbl="parChTrans1D2" presStyleIdx="1" presStyleCnt="2"/>
      <dgm:spPr/>
      <dgm:t>
        <a:bodyPr/>
        <a:lstStyle/>
        <a:p>
          <a:endParaRPr lang="hu-HU"/>
        </a:p>
      </dgm:t>
    </dgm:pt>
    <dgm:pt modelId="{484E1F87-DA73-45C4-808B-CBA364CA9A4A}" type="pres">
      <dgm:prSet presAssocID="{22848012-8190-4BA8-9005-5D760552F1C2}" presName="hierRoot3" presStyleCnt="0">
        <dgm:presLayoutVars>
          <dgm:hierBranch val="init"/>
        </dgm:presLayoutVars>
      </dgm:prSet>
      <dgm:spPr/>
    </dgm:pt>
    <dgm:pt modelId="{093D6CCC-AF79-4CC1-895F-394CEEB00F80}" type="pres">
      <dgm:prSet presAssocID="{22848012-8190-4BA8-9005-5D760552F1C2}" presName="rootComposite3" presStyleCnt="0"/>
      <dgm:spPr/>
    </dgm:pt>
    <dgm:pt modelId="{AAB6EDC9-0B85-47C8-914C-6B3F4ED81F57}" type="pres">
      <dgm:prSet presAssocID="{22848012-8190-4BA8-9005-5D760552F1C2}" presName="rootText3" presStyleLbl="asst1" presStyleIdx="3" presStyleCnt="6" custScaleX="136611" custScaleY="165837" custLinFactNeighborX="22862" custLinFactNeighborY="-22861">
        <dgm:presLayoutVars>
          <dgm:chPref val="3"/>
        </dgm:presLayoutVars>
      </dgm:prSet>
      <dgm:spPr/>
      <dgm:t>
        <a:bodyPr/>
        <a:lstStyle/>
        <a:p>
          <a:endParaRPr lang="hu-HU"/>
        </a:p>
      </dgm:t>
    </dgm:pt>
    <dgm:pt modelId="{19D7E784-871C-4696-BEA4-9C44D90E8D0D}" type="pres">
      <dgm:prSet presAssocID="{22848012-8190-4BA8-9005-5D760552F1C2}" presName="rootConnector3" presStyleLbl="asst1" presStyleIdx="3" presStyleCnt="6"/>
      <dgm:spPr/>
      <dgm:t>
        <a:bodyPr/>
        <a:lstStyle/>
        <a:p>
          <a:endParaRPr lang="hu-HU"/>
        </a:p>
      </dgm:t>
    </dgm:pt>
    <dgm:pt modelId="{941F348B-090C-470C-B289-9157EAB8A782}" type="pres">
      <dgm:prSet presAssocID="{22848012-8190-4BA8-9005-5D760552F1C2}" presName="hierChild6" presStyleCnt="0"/>
      <dgm:spPr/>
    </dgm:pt>
    <dgm:pt modelId="{FE58512C-3036-4790-835E-F8FD079C8B94}" type="pres">
      <dgm:prSet presAssocID="{22848012-8190-4BA8-9005-5D760552F1C2}" presName="hierChild7" presStyleCnt="0"/>
      <dgm:spPr/>
    </dgm:pt>
    <dgm:pt modelId="{5F4B7F59-D4CD-46C2-BE99-1CCEB1B3E2E0}" type="pres">
      <dgm:prSet presAssocID="{072613A6-D0A9-4053-AE11-CA54B33354CB}" presName="Name111" presStyleLbl="parChTrans1D3" presStyleIdx="2" presStyleCnt="4"/>
      <dgm:spPr/>
      <dgm:t>
        <a:bodyPr/>
        <a:lstStyle/>
        <a:p>
          <a:endParaRPr lang="hu-HU"/>
        </a:p>
      </dgm:t>
    </dgm:pt>
    <dgm:pt modelId="{86FEC8AE-C713-4A5B-AC55-61AD1174FB0B}" type="pres">
      <dgm:prSet presAssocID="{C7E999C0-5B2B-41C3-A1A4-0234309902EA}" presName="hierRoot3" presStyleCnt="0">
        <dgm:presLayoutVars>
          <dgm:hierBranch val="init"/>
        </dgm:presLayoutVars>
      </dgm:prSet>
      <dgm:spPr/>
    </dgm:pt>
    <dgm:pt modelId="{08FEF8DB-DA1B-4073-9AE7-01018765B768}" type="pres">
      <dgm:prSet presAssocID="{C7E999C0-5B2B-41C3-A1A4-0234309902EA}" presName="rootComposite3" presStyleCnt="0"/>
      <dgm:spPr/>
    </dgm:pt>
    <dgm:pt modelId="{9F4EEC35-DFED-4569-9DD5-39340700EAD0}" type="pres">
      <dgm:prSet presAssocID="{C7E999C0-5B2B-41C3-A1A4-0234309902EA}" presName="rootText3" presStyleLbl="asst1" presStyleIdx="4" presStyleCnt="6" custScaleX="112308" custScaleY="181883" custLinFactNeighborY="-35563">
        <dgm:presLayoutVars>
          <dgm:chPref val="3"/>
        </dgm:presLayoutVars>
      </dgm:prSet>
      <dgm:spPr/>
      <dgm:t>
        <a:bodyPr/>
        <a:lstStyle/>
        <a:p>
          <a:endParaRPr lang="hu-HU"/>
        </a:p>
      </dgm:t>
    </dgm:pt>
    <dgm:pt modelId="{1FABDADA-1C4F-422E-A395-B18DAC683EA0}" type="pres">
      <dgm:prSet presAssocID="{C7E999C0-5B2B-41C3-A1A4-0234309902EA}" presName="rootConnector3" presStyleLbl="asst1" presStyleIdx="4" presStyleCnt="6"/>
      <dgm:spPr/>
      <dgm:t>
        <a:bodyPr/>
        <a:lstStyle/>
        <a:p>
          <a:endParaRPr lang="hu-HU"/>
        </a:p>
      </dgm:t>
    </dgm:pt>
    <dgm:pt modelId="{7BD3B7F3-8AF7-48D7-8D00-04076D5DA6E6}" type="pres">
      <dgm:prSet presAssocID="{C7E999C0-5B2B-41C3-A1A4-0234309902EA}" presName="hierChild6" presStyleCnt="0"/>
      <dgm:spPr/>
    </dgm:pt>
    <dgm:pt modelId="{3A3EDB43-7FCE-4FF6-92EA-461D3251096E}" type="pres">
      <dgm:prSet presAssocID="{C7E999C0-5B2B-41C3-A1A4-0234309902EA}" presName="hierChild7" presStyleCnt="0"/>
      <dgm:spPr/>
    </dgm:pt>
    <dgm:pt modelId="{6675A415-8711-4A6F-88D2-F8FE8C076F07}" type="pres">
      <dgm:prSet presAssocID="{B7E3B051-9274-4E17-9C0E-25B365C50497}" presName="Name111" presStyleLbl="parChTrans1D3" presStyleIdx="3" presStyleCnt="4"/>
      <dgm:spPr/>
      <dgm:t>
        <a:bodyPr/>
        <a:lstStyle/>
        <a:p>
          <a:endParaRPr lang="hu-HU"/>
        </a:p>
      </dgm:t>
    </dgm:pt>
    <dgm:pt modelId="{5DA027B3-7609-40DC-8FD9-946DA4A149A1}" type="pres">
      <dgm:prSet presAssocID="{D819E39D-067E-4302-B89B-6970F70E3EA5}" presName="hierRoot3" presStyleCnt="0">
        <dgm:presLayoutVars>
          <dgm:hierBranch val="init"/>
        </dgm:presLayoutVars>
      </dgm:prSet>
      <dgm:spPr/>
    </dgm:pt>
    <dgm:pt modelId="{6A0C8B39-36B4-4313-AC05-B80C6DD75B83}" type="pres">
      <dgm:prSet presAssocID="{D819E39D-067E-4302-B89B-6970F70E3EA5}" presName="rootComposite3" presStyleCnt="0"/>
      <dgm:spPr/>
    </dgm:pt>
    <dgm:pt modelId="{2F778BFD-A1CD-4044-B7FC-56565A99FD51}" type="pres">
      <dgm:prSet presAssocID="{D819E39D-067E-4302-B89B-6970F70E3EA5}" presName="rootText3" presStyleLbl="asst1" presStyleIdx="5" presStyleCnt="6" custScaleX="141560" custScaleY="189773" custLinFactNeighborX="43183" custLinFactNeighborY="-35563">
        <dgm:presLayoutVars>
          <dgm:chPref val="3"/>
        </dgm:presLayoutVars>
      </dgm:prSet>
      <dgm:spPr/>
      <dgm:t>
        <a:bodyPr/>
        <a:lstStyle/>
        <a:p>
          <a:endParaRPr lang="hu-HU"/>
        </a:p>
      </dgm:t>
    </dgm:pt>
    <dgm:pt modelId="{869E3E50-DEC4-414C-B01B-3F9EC4CD13AA}" type="pres">
      <dgm:prSet presAssocID="{D819E39D-067E-4302-B89B-6970F70E3EA5}" presName="rootConnector3" presStyleLbl="asst1" presStyleIdx="5" presStyleCnt="6"/>
      <dgm:spPr/>
      <dgm:t>
        <a:bodyPr/>
        <a:lstStyle/>
        <a:p>
          <a:endParaRPr lang="hu-HU"/>
        </a:p>
      </dgm:t>
    </dgm:pt>
    <dgm:pt modelId="{181D35E4-9FFA-474F-B5B0-5F613BF414F4}" type="pres">
      <dgm:prSet presAssocID="{D819E39D-067E-4302-B89B-6970F70E3EA5}" presName="hierChild6" presStyleCnt="0"/>
      <dgm:spPr/>
    </dgm:pt>
    <dgm:pt modelId="{18238BB0-39DB-4C7B-9BC7-0D72EDD3FEDE}" type="pres">
      <dgm:prSet presAssocID="{D819E39D-067E-4302-B89B-6970F70E3EA5}" presName="hierChild7" presStyleCnt="0"/>
      <dgm:spPr/>
    </dgm:pt>
  </dgm:ptLst>
  <dgm:cxnLst>
    <dgm:cxn modelId="{BA14986F-C26B-4CD1-96CF-6FF526D7AEA2}" type="presOf" srcId="{0CFF8437-FFA7-43B1-B017-47D403555610}" destId="{18F2DACC-2164-488B-BD71-DA77A5A855D9}" srcOrd="1" destOrd="0" presId="urn:microsoft.com/office/officeart/2005/8/layout/orgChart1"/>
    <dgm:cxn modelId="{91A629EC-7F81-4D28-BDAE-983954D93AD4}" srcId="{22848012-8190-4BA8-9005-5D760552F1C2}" destId="{C7E999C0-5B2B-41C3-A1A4-0234309902EA}" srcOrd="0" destOrd="0" parTransId="{072613A6-D0A9-4053-AE11-CA54B33354CB}" sibTransId="{EC41A587-A2EF-4ABE-BDCB-852EB5D8045D}"/>
    <dgm:cxn modelId="{019C2F8C-9C60-41FD-B51B-5F7CDAC37B54}" type="presOf" srcId="{929D6CAF-9772-4924-BCD6-81D0FEE0B31C}" destId="{A4FB79D1-D016-47DC-B69A-E6E9F8B95D4C}" srcOrd="1" destOrd="0" presId="urn:microsoft.com/office/officeart/2005/8/layout/orgChart1"/>
    <dgm:cxn modelId="{DC3F1EE8-B180-4B19-919C-1A1EAA81CF8E}" srcId="{929D6CAF-9772-4924-BCD6-81D0FEE0B31C}" destId="{D1ED2297-4CDF-4792-8A64-7C53FC12F030}" srcOrd="1" destOrd="0" parTransId="{E625147A-AE42-41AE-947E-C42A634EB67D}" sibTransId="{C64367FD-CEC3-49F2-AC69-A9B87258544F}"/>
    <dgm:cxn modelId="{8A04296D-B6AD-42F3-A8C9-24C6325A8A30}" srcId="{E336DA44-15A2-4B68-B64C-7958DC2DDEC3}" destId="{0CFF8437-FFA7-43B1-B017-47D403555610}" srcOrd="0" destOrd="0" parTransId="{446AC42D-3951-4CA1-818C-78A76207CA27}" sibTransId="{6977DFEA-CE60-4500-9EEA-82992C4CB2C5}"/>
    <dgm:cxn modelId="{636E636A-DCFD-4542-8D54-05A9F9EF7A22}" type="presOf" srcId="{D819E39D-067E-4302-B89B-6970F70E3EA5}" destId="{2F778BFD-A1CD-4044-B7FC-56565A99FD51}" srcOrd="0" destOrd="0" presId="urn:microsoft.com/office/officeart/2005/8/layout/orgChart1"/>
    <dgm:cxn modelId="{A69047C5-8F44-4F74-9C21-9CDDCE94D843}" type="presOf" srcId="{C7E999C0-5B2B-41C3-A1A4-0234309902EA}" destId="{9F4EEC35-DFED-4569-9DD5-39340700EAD0}" srcOrd="0" destOrd="0" presId="urn:microsoft.com/office/officeart/2005/8/layout/orgChart1"/>
    <dgm:cxn modelId="{620B0304-38B6-4D54-B7A4-1065E95053BE}" type="presOf" srcId="{22848012-8190-4BA8-9005-5D760552F1C2}" destId="{19D7E784-871C-4696-BEA4-9C44D90E8D0D}" srcOrd="1" destOrd="0" presId="urn:microsoft.com/office/officeart/2005/8/layout/orgChart1"/>
    <dgm:cxn modelId="{2430EB69-F932-4ABC-932E-3AFB1BE86858}" type="presOf" srcId="{929D6CAF-9772-4924-BCD6-81D0FEE0B31C}" destId="{885D38CD-EA9E-4C54-B674-931A750DBB7E}" srcOrd="0" destOrd="0" presId="urn:microsoft.com/office/officeart/2005/8/layout/orgChart1"/>
    <dgm:cxn modelId="{C4A0F5F4-1008-4684-844E-AEB8FED02559}" srcId="{929D6CAF-9772-4924-BCD6-81D0FEE0B31C}" destId="{E7AB8F70-3D8C-4A0D-A9C6-63D761202FE7}" srcOrd="0" destOrd="0" parTransId="{7C1D3A7A-C2FF-4AB0-89E8-6B17CD984F8C}" sibTransId="{2D548878-895C-4FC6-9534-B9515B24B2EB}"/>
    <dgm:cxn modelId="{EB0AA5AC-152E-4D44-BF9E-4C2C9CEB08A5}" type="presOf" srcId="{0CFF8437-FFA7-43B1-B017-47D403555610}" destId="{D4F9D998-4DD1-48C1-8692-887A2F2DC82C}" srcOrd="0" destOrd="0" presId="urn:microsoft.com/office/officeart/2005/8/layout/orgChart1"/>
    <dgm:cxn modelId="{0B9EA1DF-2C69-497F-8651-66FCD053245F}" srcId="{22848012-8190-4BA8-9005-5D760552F1C2}" destId="{D819E39D-067E-4302-B89B-6970F70E3EA5}" srcOrd="1" destOrd="0" parTransId="{B7E3B051-9274-4E17-9C0E-25B365C50497}" sibTransId="{AE46DAB8-65F6-45EC-9907-84F55A316A79}"/>
    <dgm:cxn modelId="{82C87D2D-0551-47B3-81FB-3D429D870C58}" type="presOf" srcId="{7C1D3A7A-C2FF-4AB0-89E8-6B17CD984F8C}" destId="{537E7D88-52DB-4A9B-A22B-D3CBD38CAB28}" srcOrd="0" destOrd="0" presId="urn:microsoft.com/office/officeart/2005/8/layout/orgChart1"/>
    <dgm:cxn modelId="{D0147C0F-A748-454A-8835-73267412A306}" type="presOf" srcId="{D1ED2297-4CDF-4792-8A64-7C53FC12F030}" destId="{A55A6AA2-B1A6-46CF-A5ED-A490112827E5}" srcOrd="1" destOrd="0" presId="urn:microsoft.com/office/officeart/2005/8/layout/orgChart1"/>
    <dgm:cxn modelId="{E5817584-A8CC-4523-8CFD-E9785234EFEF}" type="presOf" srcId="{E625147A-AE42-41AE-947E-C42A634EB67D}" destId="{8B663581-C696-441C-9815-16C195A65614}" srcOrd="0" destOrd="0" presId="urn:microsoft.com/office/officeart/2005/8/layout/orgChart1"/>
    <dgm:cxn modelId="{CB58EEEF-A3D8-449F-8E47-56EC57C85947}" type="presOf" srcId="{B7E3B051-9274-4E17-9C0E-25B365C50497}" destId="{6675A415-8711-4A6F-88D2-F8FE8C076F07}" srcOrd="0" destOrd="0" presId="urn:microsoft.com/office/officeart/2005/8/layout/orgChart1"/>
    <dgm:cxn modelId="{4CFCC7A0-2199-4400-A4DB-4B3F0714A70B}" srcId="{0CFF8437-FFA7-43B1-B017-47D403555610}" destId="{929D6CAF-9772-4924-BCD6-81D0FEE0B31C}" srcOrd="0" destOrd="0" parTransId="{EDF2AA9E-DB4E-4A8B-A34A-CFEE9C37CC8E}" sibTransId="{ADF6124C-8E8C-4B94-B41E-3A0D205FB653}"/>
    <dgm:cxn modelId="{6ACF1257-DBAD-488F-A162-1D3DC442D618}" srcId="{0CFF8437-FFA7-43B1-B017-47D403555610}" destId="{22848012-8190-4BA8-9005-5D760552F1C2}" srcOrd="1" destOrd="0" parTransId="{86B293CC-40F5-4B3A-93AA-275490C22E98}" sibTransId="{0E4B8A0F-71CA-48BA-9AE2-FF7C0CBA8512}"/>
    <dgm:cxn modelId="{EB2EE7AC-5C02-403D-AFF6-451B89BEEE19}" type="presOf" srcId="{E336DA44-15A2-4B68-B64C-7958DC2DDEC3}" destId="{5A65CA94-0E33-4E62-B811-E9B3C4A9A5F3}" srcOrd="0" destOrd="0" presId="urn:microsoft.com/office/officeart/2005/8/layout/orgChart1"/>
    <dgm:cxn modelId="{99E782D5-B7A8-467F-9E85-6B2EAD303A96}" type="presOf" srcId="{EDF2AA9E-DB4E-4A8B-A34A-CFEE9C37CC8E}" destId="{C4C9C172-FC75-4554-962D-FD3CCEBA8F67}" srcOrd="0" destOrd="0" presId="urn:microsoft.com/office/officeart/2005/8/layout/orgChart1"/>
    <dgm:cxn modelId="{89E74187-2F93-43C2-A2B6-4E941AC24B9A}" type="presOf" srcId="{C7E999C0-5B2B-41C3-A1A4-0234309902EA}" destId="{1FABDADA-1C4F-422E-A395-B18DAC683EA0}" srcOrd="1" destOrd="0" presId="urn:microsoft.com/office/officeart/2005/8/layout/orgChart1"/>
    <dgm:cxn modelId="{266D09B6-C097-4586-A1F7-4F34BE3E825A}" type="presOf" srcId="{E7AB8F70-3D8C-4A0D-A9C6-63D761202FE7}" destId="{38F6F417-D4D7-4EBD-BE44-9E62EB1D7285}" srcOrd="1" destOrd="0" presId="urn:microsoft.com/office/officeart/2005/8/layout/orgChart1"/>
    <dgm:cxn modelId="{7EA50511-7F36-407B-B508-C8FB223AD770}" type="presOf" srcId="{E7AB8F70-3D8C-4A0D-A9C6-63D761202FE7}" destId="{CB27BFB3-8820-4E70-B4DE-84842159BE5A}" srcOrd="0" destOrd="0" presId="urn:microsoft.com/office/officeart/2005/8/layout/orgChart1"/>
    <dgm:cxn modelId="{1EC4B152-C91D-4F97-8404-A79803BD5566}" type="presOf" srcId="{D1ED2297-4CDF-4792-8A64-7C53FC12F030}" destId="{11B0E417-0961-4A80-88E5-33DA693CA8CC}" srcOrd="0" destOrd="0" presId="urn:microsoft.com/office/officeart/2005/8/layout/orgChart1"/>
    <dgm:cxn modelId="{9AFE0511-0089-44AE-8F83-D8D517A2D19F}" type="presOf" srcId="{072613A6-D0A9-4053-AE11-CA54B33354CB}" destId="{5F4B7F59-D4CD-46C2-BE99-1CCEB1B3E2E0}" srcOrd="0" destOrd="0" presId="urn:microsoft.com/office/officeart/2005/8/layout/orgChart1"/>
    <dgm:cxn modelId="{5B7D348B-7C96-400A-81C9-456B1E76EE90}" type="presOf" srcId="{D819E39D-067E-4302-B89B-6970F70E3EA5}" destId="{869E3E50-DEC4-414C-B01B-3F9EC4CD13AA}" srcOrd="1" destOrd="0" presId="urn:microsoft.com/office/officeart/2005/8/layout/orgChart1"/>
    <dgm:cxn modelId="{FE9A985C-CE99-4109-8C58-E16E1D493B8C}" type="presOf" srcId="{86B293CC-40F5-4B3A-93AA-275490C22E98}" destId="{90C2EE8E-C5EF-4182-AF55-45EFBC48587B}" srcOrd="0" destOrd="0" presId="urn:microsoft.com/office/officeart/2005/8/layout/orgChart1"/>
    <dgm:cxn modelId="{F15F4021-F883-4806-A25D-8A6321930937}" type="presOf" srcId="{22848012-8190-4BA8-9005-5D760552F1C2}" destId="{AAB6EDC9-0B85-47C8-914C-6B3F4ED81F57}" srcOrd="0" destOrd="0" presId="urn:microsoft.com/office/officeart/2005/8/layout/orgChart1"/>
    <dgm:cxn modelId="{89FB39BE-7FF5-44DC-B6A0-210AF3F88C5C}" type="presParOf" srcId="{5A65CA94-0E33-4E62-B811-E9B3C4A9A5F3}" destId="{628FCBAC-83EE-4AEE-9AD8-58114930AE2F}" srcOrd="0" destOrd="0" presId="urn:microsoft.com/office/officeart/2005/8/layout/orgChart1"/>
    <dgm:cxn modelId="{858DF2F1-8204-4C54-9723-41B6348DE43B}" type="presParOf" srcId="{628FCBAC-83EE-4AEE-9AD8-58114930AE2F}" destId="{07547DEA-AB4F-4A76-82F8-469819A34306}" srcOrd="0" destOrd="0" presId="urn:microsoft.com/office/officeart/2005/8/layout/orgChart1"/>
    <dgm:cxn modelId="{64DDB1F0-3092-47DF-9F49-9ACFC86BD6BC}" type="presParOf" srcId="{07547DEA-AB4F-4A76-82F8-469819A34306}" destId="{D4F9D998-4DD1-48C1-8692-887A2F2DC82C}" srcOrd="0" destOrd="0" presId="urn:microsoft.com/office/officeart/2005/8/layout/orgChart1"/>
    <dgm:cxn modelId="{9DD41CBA-C083-4CF7-A70B-8A7F86AD5C80}" type="presParOf" srcId="{07547DEA-AB4F-4A76-82F8-469819A34306}" destId="{18F2DACC-2164-488B-BD71-DA77A5A855D9}" srcOrd="1" destOrd="0" presId="urn:microsoft.com/office/officeart/2005/8/layout/orgChart1"/>
    <dgm:cxn modelId="{60B7FEA6-6747-4306-8BC8-6AB44B4FB857}" type="presParOf" srcId="{628FCBAC-83EE-4AEE-9AD8-58114930AE2F}" destId="{4E2B1BF4-C1AF-4811-828D-5BA74F74B61C}" srcOrd="1" destOrd="0" presId="urn:microsoft.com/office/officeart/2005/8/layout/orgChart1"/>
    <dgm:cxn modelId="{856A8170-10E2-435A-A9D8-ECEF231D1CF3}" type="presParOf" srcId="{628FCBAC-83EE-4AEE-9AD8-58114930AE2F}" destId="{FBB27EEC-CEED-4AD9-9150-43B7B8A005BF}" srcOrd="2" destOrd="0" presId="urn:microsoft.com/office/officeart/2005/8/layout/orgChart1"/>
    <dgm:cxn modelId="{5789E27E-D251-41C9-9FE7-458344A708A0}" type="presParOf" srcId="{FBB27EEC-CEED-4AD9-9150-43B7B8A005BF}" destId="{C4C9C172-FC75-4554-962D-FD3CCEBA8F67}" srcOrd="0" destOrd="0" presId="urn:microsoft.com/office/officeart/2005/8/layout/orgChart1"/>
    <dgm:cxn modelId="{52D02B6C-AA8C-4F36-9BC7-EF2F4CAC0E14}" type="presParOf" srcId="{FBB27EEC-CEED-4AD9-9150-43B7B8A005BF}" destId="{B81BEA0D-DDCE-495D-9A84-400EEB0EFE63}" srcOrd="1" destOrd="0" presId="urn:microsoft.com/office/officeart/2005/8/layout/orgChart1"/>
    <dgm:cxn modelId="{374B2430-7B1E-4A40-AC3B-9CAE1C37616B}" type="presParOf" srcId="{B81BEA0D-DDCE-495D-9A84-400EEB0EFE63}" destId="{EB1A5413-2860-40C8-B297-5DA1E33E492E}" srcOrd="0" destOrd="0" presId="urn:microsoft.com/office/officeart/2005/8/layout/orgChart1"/>
    <dgm:cxn modelId="{E8F8554F-5531-4B49-9C0C-D1527B4A2E4A}" type="presParOf" srcId="{EB1A5413-2860-40C8-B297-5DA1E33E492E}" destId="{885D38CD-EA9E-4C54-B674-931A750DBB7E}" srcOrd="0" destOrd="0" presId="urn:microsoft.com/office/officeart/2005/8/layout/orgChart1"/>
    <dgm:cxn modelId="{3880E696-E54A-4593-8946-82413AFDA63F}" type="presParOf" srcId="{EB1A5413-2860-40C8-B297-5DA1E33E492E}" destId="{A4FB79D1-D016-47DC-B69A-E6E9F8B95D4C}" srcOrd="1" destOrd="0" presId="urn:microsoft.com/office/officeart/2005/8/layout/orgChart1"/>
    <dgm:cxn modelId="{0F1B4955-E8A1-4F2D-BFFF-D1B3347CEDCD}" type="presParOf" srcId="{B81BEA0D-DDCE-495D-9A84-400EEB0EFE63}" destId="{451EBFBA-38E2-4C60-A3AF-1F28A8C7B71F}" srcOrd="1" destOrd="0" presId="urn:microsoft.com/office/officeart/2005/8/layout/orgChart1"/>
    <dgm:cxn modelId="{0147054B-DC58-4072-A57F-83906F2AF46C}" type="presParOf" srcId="{B81BEA0D-DDCE-495D-9A84-400EEB0EFE63}" destId="{66AFD667-2F0B-4437-8A75-0CD9F20734EB}" srcOrd="2" destOrd="0" presId="urn:microsoft.com/office/officeart/2005/8/layout/orgChart1"/>
    <dgm:cxn modelId="{C2B2BF49-CFF1-45FC-A3E2-BA9E98366046}" type="presParOf" srcId="{66AFD667-2F0B-4437-8A75-0CD9F20734EB}" destId="{537E7D88-52DB-4A9B-A22B-D3CBD38CAB28}" srcOrd="0" destOrd="0" presId="urn:microsoft.com/office/officeart/2005/8/layout/orgChart1"/>
    <dgm:cxn modelId="{3E5180EB-AAFC-4706-B0D7-9DCBEE74A496}" type="presParOf" srcId="{66AFD667-2F0B-4437-8A75-0CD9F20734EB}" destId="{CAF95015-E307-4260-A125-A64DC91C4CB6}" srcOrd="1" destOrd="0" presId="urn:microsoft.com/office/officeart/2005/8/layout/orgChart1"/>
    <dgm:cxn modelId="{BD7C59FD-8131-4B74-B3B6-AAC4B8883EC9}" type="presParOf" srcId="{CAF95015-E307-4260-A125-A64DC91C4CB6}" destId="{763E47D4-AA49-4458-951E-B1C998DADAD6}" srcOrd="0" destOrd="0" presId="urn:microsoft.com/office/officeart/2005/8/layout/orgChart1"/>
    <dgm:cxn modelId="{1880983B-9386-4166-9F86-1E2B5DC594F5}" type="presParOf" srcId="{763E47D4-AA49-4458-951E-B1C998DADAD6}" destId="{CB27BFB3-8820-4E70-B4DE-84842159BE5A}" srcOrd="0" destOrd="0" presId="urn:microsoft.com/office/officeart/2005/8/layout/orgChart1"/>
    <dgm:cxn modelId="{BBB66C3A-8E14-4C7C-A6C9-5B47DDC7CEF0}" type="presParOf" srcId="{763E47D4-AA49-4458-951E-B1C998DADAD6}" destId="{38F6F417-D4D7-4EBD-BE44-9E62EB1D7285}" srcOrd="1" destOrd="0" presId="urn:microsoft.com/office/officeart/2005/8/layout/orgChart1"/>
    <dgm:cxn modelId="{E0E19183-A90B-4E1D-89FA-7E8857290AD3}" type="presParOf" srcId="{CAF95015-E307-4260-A125-A64DC91C4CB6}" destId="{90B8D185-015F-43C6-87FC-EB03FFCE5065}" srcOrd="1" destOrd="0" presId="urn:microsoft.com/office/officeart/2005/8/layout/orgChart1"/>
    <dgm:cxn modelId="{2AE153D6-645A-4BB4-BB97-2BE00CB87016}" type="presParOf" srcId="{CAF95015-E307-4260-A125-A64DC91C4CB6}" destId="{6DAE652E-193B-4697-A75B-34F6A752ED0A}" srcOrd="2" destOrd="0" presId="urn:microsoft.com/office/officeart/2005/8/layout/orgChart1"/>
    <dgm:cxn modelId="{5E3E71F2-E1C9-4C8D-8566-62B77B91EC52}" type="presParOf" srcId="{66AFD667-2F0B-4437-8A75-0CD9F20734EB}" destId="{8B663581-C696-441C-9815-16C195A65614}" srcOrd="2" destOrd="0" presId="urn:microsoft.com/office/officeart/2005/8/layout/orgChart1"/>
    <dgm:cxn modelId="{5E57829D-560A-4705-A2FF-AB41A885FD7D}" type="presParOf" srcId="{66AFD667-2F0B-4437-8A75-0CD9F20734EB}" destId="{556E9223-015A-4C83-B5BB-9D1FC3ABF88E}" srcOrd="3" destOrd="0" presId="urn:microsoft.com/office/officeart/2005/8/layout/orgChart1"/>
    <dgm:cxn modelId="{68C7262C-B954-4A0F-B136-C86A2E2DC193}" type="presParOf" srcId="{556E9223-015A-4C83-B5BB-9D1FC3ABF88E}" destId="{082827E6-D6A9-452D-86DF-FAE9C44411FE}" srcOrd="0" destOrd="0" presId="urn:microsoft.com/office/officeart/2005/8/layout/orgChart1"/>
    <dgm:cxn modelId="{90330D1A-F85B-4643-AE5D-A7073B402BF5}" type="presParOf" srcId="{082827E6-D6A9-452D-86DF-FAE9C44411FE}" destId="{11B0E417-0961-4A80-88E5-33DA693CA8CC}" srcOrd="0" destOrd="0" presId="urn:microsoft.com/office/officeart/2005/8/layout/orgChart1"/>
    <dgm:cxn modelId="{3B84B1A0-D996-40F6-B9E7-D24BB048A4C3}" type="presParOf" srcId="{082827E6-D6A9-452D-86DF-FAE9C44411FE}" destId="{A55A6AA2-B1A6-46CF-A5ED-A490112827E5}" srcOrd="1" destOrd="0" presId="urn:microsoft.com/office/officeart/2005/8/layout/orgChart1"/>
    <dgm:cxn modelId="{4FA12CE2-F788-488C-BF68-267BE661B223}" type="presParOf" srcId="{556E9223-015A-4C83-B5BB-9D1FC3ABF88E}" destId="{E89E253C-0CC5-48A2-A7F8-AD9986A84C1C}" srcOrd="1" destOrd="0" presId="urn:microsoft.com/office/officeart/2005/8/layout/orgChart1"/>
    <dgm:cxn modelId="{AA09F2D8-F270-4854-AEBA-CE823AD933B6}" type="presParOf" srcId="{556E9223-015A-4C83-B5BB-9D1FC3ABF88E}" destId="{055AF28F-13EC-4690-B0AD-0F7132AB22DE}" srcOrd="2" destOrd="0" presId="urn:microsoft.com/office/officeart/2005/8/layout/orgChart1"/>
    <dgm:cxn modelId="{A370B01B-ED3D-480A-85D0-0AB784102813}" type="presParOf" srcId="{FBB27EEC-CEED-4AD9-9150-43B7B8A005BF}" destId="{90C2EE8E-C5EF-4182-AF55-45EFBC48587B}" srcOrd="2" destOrd="0" presId="urn:microsoft.com/office/officeart/2005/8/layout/orgChart1"/>
    <dgm:cxn modelId="{DEFC5EFE-AF38-494E-9882-141027365D19}" type="presParOf" srcId="{FBB27EEC-CEED-4AD9-9150-43B7B8A005BF}" destId="{484E1F87-DA73-45C4-808B-CBA364CA9A4A}" srcOrd="3" destOrd="0" presId="urn:microsoft.com/office/officeart/2005/8/layout/orgChart1"/>
    <dgm:cxn modelId="{6BC0554C-FEF8-4D4A-8C04-3E1044D113D4}" type="presParOf" srcId="{484E1F87-DA73-45C4-808B-CBA364CA9A4A}" destId="{093D6CCC-AF79-4CC1-895F-394CEEB00F80}" srcOrd="0" destOrd="0" presId="urn:microsoft.com/office/officeart/2005/8/layout/orgChart1"/>
    <dgm:cxn modelId="{FACEBE64-34AC-429E-B91D-6D0A0C076783}" type="presParOf" srcId="{093D6CCC-AF79-4CC1-895F-394CEEB00F80}" destId="{AAB6EDC9-0B85-47C8-914C-6B3F4ED81F57}" srcOrd="0" destOrd="0" presId="urn:microsoft.com/office/officeart/2005/8/layout/orgChart1"/>
    <dgm:cxn modelId="{BA7C7DA2-A471-474E-AB03-6E50CED3ED4C}" type="presParOf" srcId="{093D6CCC-AF79-4CC1-895F-394CEEB00F80}" destId="{19D7E784-871C-4696-BEA4-9C44D90E8D0D}" srcOrd="1" destOrd="0" presId="urn:microsoft.com/office/officeart/2005/8/layout/orgChart1"/>
    <dgm:cxn modelId="{C691466B-E545-4A07-AE29-632280D6DD73}" type="presParOf" srcId="{484E1F87-DA73-45C4-808B-CBA364CA9A4A}" destId="{941F348B-090C-470C-B289-9157EAB8A782}" srcOrd="1" destOrd="0" presId="urn:microsoft.com/office/officeart/2005/8/layout/orgChart1"/>
    <dgm:cxn modelId="{842F1AC2-22A2-4606-8A92-04C76EDA5AA9}" type="presParOf" srcId="{484E1F87-DA73-45C4-808B-CBA364CA9A4A}" destId="{FE58512C-3036-4790-835E-F8FD079C8B94}" srcOrd="2" destOrd="0" presId="urn:microsoft.com/office/officeart/2005/8/layout/orgChart1"/>
    <dgm:cxn modelId="{FD1FF5B4-B661-4D29-B9D7-EA49414AF1D4}" type="presParOf" srcId="{FE58512C-3036-4790-835E-F8FD079C8B94}" destId="{5F4B7F59-D4CD-46C2-BE99-1CCEB1B3E2E0}" srcOrd="0" destOrd="0" presId="urn:microsoft.com/office/officeart/2005/8/layout/orgChart1"/>
    <dgm:cxn modelId="{68243E8B-4498-449C-820F-150E5D645AF1}" type="presParOf" srcId="{FE58512C-3036-4790-835E-F8FD079C8B94}" destId="{86FEC8AE-C713-4A5B-AC55-61AD1174FB0B}" srcOrd="1" destOrd="0" presId="urn:microsoft.com/office/officeart/2005/8/layout/orgChart1"/>
    <dgm:cxn modelId="{29A8C393-00F2-48D9-BF81-1602CCA41518}" type="presParOf" srcId="{86FEC8AE-C713-4A5B-AC55-61AD1174FB0B}" destId="{08FEF8DB-DA1B-4073-9AE7-01018765B768}" srcOrd="0" destOrd="0" presId="urn:microsoft.com/office/officeart/2005/8/layout/orgChart1"/>
    <dgm:cxn modelId="{F36B04B7-688D-49F5-8590-B7479BF9D198}" type="presParOf" srcId="{08FEF8DB-DA1B-4073-9AE7-01018765B768}" destId="{9F4EEC35-DFED-4569-9DD5-39340700EAD0}" srcOrd="0" destOrd="0" presId="urn:microsoft.com/office/officeart/2005/8/layout/orgChart1"/>
    <dgm:cxn modelId="{FE5A8EF4-2B88-4A79-87B9-A84A830677FD}" type="presParOf" srcId="{08FEF8DB-DA1B-4073-9AE7-01018765B768}" destId="{1FABDADA-1C4F-422E-A395-B18DAC683EA0}" srcOrd="1" destOrd="0" presId="urn:microsoft.com/office/officeart/2005/8/layout/orgChart1"/>
    <dgm:cxn modelId="{35C6D963-FE19-4B00-9678-1AB3A18B39CF}" type="presParOf" srcId="{86FEC8AE-C713-4A5B-AC55-61AD1174FB0B}" destId="{7BD3B7F3-8AF7-48D7-8D00-04076D5DA6E6}" srcOrd="1" destOrd="0" presId="urn:microsoft.com/office/officeart/2005/8/layout/orgChart1"/>
    <dgm:cxn modelId="{583E3BE3-630E-438F-A18B-0BB630035003}" type="presParOf" srcId="{86FEC8AE-C713-4A5B-AC55-61AD1174FB0B}" destId="{3A3EDB43-7FCE-4FF6-92EA-461D3251096E}" srcOrd="2" destOrd="0" presId="urn:microsoft.com/office/officeart/2005/8/layout/orgChart1"/>
    <dgm:cxn modelId="{A4EBACFD-CEE4-4F83-9211-50E6B052AE91}" type="presParOf" srcId="{FE58512C-3036-4790-835E-F8FD079C8B94}" destId="{6675A415-8711-4A6F-88D2-F8FE8C076F07}" srcOrd="2" destOrd="0" presId="urn:microsoft.com/office/officeart/2005/8/layout/orgChart1"/>
    <dgm:cxn modelId="{C6542192-B96F-4BCD-91EC-06B690E681D2}" type="presParOf" srcId="{FE58512C-3036-4790-835E-F8FD079C8B94}" destId="{5DA027B3-7609-40DC-8FD9-946DA4A149A1}" srcOrd="3" destOrd="0" presId="urn:microsoft.com/office/officeart/2005/8/layout/orgChart1"/>
    <dgm:cxn modelId="{533E0D6F-3294-4EFA-98A3-5CFB27CE1F6B}" type="presParOf" srcId="{5DA027B3-7609-40DC-8FD9-946DA4A149A1}" destId="{6A0C8B39-36B4-4313-AC05-B80C6DD75B83}" srcOrd="0" destOrd="0" presId="urn:microsoft.com/office/officeart/2005/8/layout/orgChart1"/>
    <dgm:cxn modelId="{21CF734D-0425-4735-98FB-621EE7070AF3}" type="presParOf" srcId="{6A0C8B39-36B4-4313-AC05-B80C6DD75B83}" destId="{2F778BFD-A1CD-4044-B7FC-56565A99FD51}" srcOrd="0" destOrd="0" presId="urn:microsoft.com/office/officeart/2005/8/layout/orgChart1"/>
    <dgm:cxn modelId="{112452C0-5DB2-4315-B8B9-0C2DC57EA58E}" type="presParOf" srcId="{6A0C8B39-36B4-4313-AC05-B80C6DD75B83}" destId="{869E3E50-DEC4-414C-B01B-3F9EC4CD13AA}" srcOrd="1" destOrd="0" presId="urn:microsoft.com/office/officeart/2005/8/layout/orgChart1"/>
    <dgm:cxn modelId="{2B04A822-E64E-4052-B742-CEF0359E4BC0}" type="presParOf" srcId="{5DA027B3-7609-40DC-8FD9-946DA4A149A1}" destId="{181D35E4-9FFA-474F-B5B0-5F613BF414F4}" srcOrd="1" destOrd="0" presId="urn:microsoft.com/office/officeart/2005/8/layout/orgChart1"/>
    <dgm:cxn modelId="{8ECADC77-D9F1-4C3E-9EC3-AD02A204A200}" type="presParOf" srcId="{5DA027B3-7609-40DC-8FD9-946DA4A149A1}" destId="{18238BB0-39DB-4C7B-9BC7-0D72EDD3FEDE}"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675A415-8711-4A6F-88D2-F8FE8C076F07}">
      <dsp:nvSpPr>
        <dsp:cNvPr id="0" name=""/>
        <dsp:cNvSpPr/>
      </dsp:nvSpPr>
      <dsp:spPr>
        <a:xfrm>
          <a:off x="4090608" y="1096582"/>
          <a:ext cx="221769" cy="446778"/>
        </a:xfrm>
        <a:custGeom>
          <a:avLst/>
          <a:gdLst/>
          <a:ahLst/>
          <a:cxnLst/>
          <a:rect l="0" t="0" r="0" b="0"/>
          <a:pathLst>
            <a:path>
              <a:moveTo>
                <a:pt x="0" y="0"/>
              </a:moveTo>
              <a:lnTo>
                <a:pt x="0" y="446778"/>
              </a:lnTo>
              <a:lnTo>
                <a:pt x="221769" y="446778"/>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4B7F59-D4CD-46C2-BE99-1CCEB1B3E2E0}">
      <dsp:nvSpPr>
        <dsp:cNvPr id="0" name=""/>
        <dsp:cNvSpPr/>
      </dsp:nvSpPr>
      <dsp:spPr>
        <a:xfrm>
          <a:off x="3850555" y="1096582"/>
          <a:ext cx="240052" cy="432585"/>
        </a:xfrm>
        <a:custGeom>
          <a:avLst/>
          <a:gdLst/>
          <a:ahLst/>
          <a:cxnLst/>
          <a:rect l="0" t="0" r="0" b="0"/>
          <a:pathLst>
            <a:path>
              <a:moveTo>
                <a:pt x="240052" y="0"/>
              </a:moveTo>
              <a:lnTo>
                <a:pt x="240052" y="432585"/>
              </a:lnTo>
              <a:lnTo>
                <a:pt x="0" y="432585"/>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0C2EE8E-C5EF-4182-AF55-45EFBC48587B}">
      <dsp:nvSpPr>
        <dsp:cNvPr id="0" name=""/>
        <dsp:cNvSpPr/>
      </dsp:nvSpPr>
      <dsp:spPr>
        <a:xfrm>
          <a:off x="2966903" y="431095"/>
          <a:ext cx="632219" cy="367171"/>
        </a:xfrm>
        <a:custGeom>
          <a:avLst/>
          <a:gdLst/>
          <a:ahLst/>
          <a:cxnLst/>
          <a:rect l="0" t="0" r="0" b="0"/>
          <a:pathLst>
            <a:path>
              <a:moveTo>
                <a:pt x="0" y="0"/>
              </a:moveTo>
              <a:lnTo>
                <a:pt x="0" y="367171"/>
              </a:lnTo>
              <a:lnTo>
                <a:pt x="632219" y="36717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B663581-C696-441C-9815-16C195A65614}">
      <dsp:nvSpPr>
        <dsp:cNvPr id="0" name=""/>
        <dsp:cNvSpPr/>
      </dsp:nvSpPr>
      <dsp:spPr>
        <a:xfrm>
          <a:off x="1783786" y="1090502"/>
          <a:ext cx="267424" cy="438669"/>
        </a:xfrm>
        <a:custGeom>
          <a:avLst/>
          <a:gdLst/>
          <a:ahLst/>
          <a:cxnLst/>
          <a:rect l="0" t="0" r="0" b="0"/>
          <a:pathLst>
            <a:path>
              <a:moveTo>
                <a:pt x="0" y="0"/>
              </a:moveTo>
              <a:lnTo>
                <a:pt x="0" y="438669"/>
              </a:lnTo>
              <a:lnTo>
                <a:pt x="267424" y="4386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37E7D88-52DB-4A9B-A22B-D3CBD38CAB28}">
      <dsp:nvSpPr>
        <dsp:cNvPr id="0" name=""/>
        <dsp:cNvSpPr/>
      </dsp:nvSpPr>
      <dsp:spPr>
        <a:xfrm>
          <a:off x="1479723" y="1090502"/>
          <a:ext cx="304062" cy="438669"/>
        </a:xfrm>
        <a:custGeom>
          <a:avLst/>
          <a:gdLst/>
          <a:ahLst/>
          <a:cxnLst/>
          <a:rect l="0" t="0" r="0" b="0"/>
          <a:pathLst>
            <a:path>
              <a:moveTo>
                <a:pt x="304062" y="0"/>
              </a:moveTo>
              <a:lnTo>
                <a:pt x="304062" y="438669"/>
              </a:lnTo>
              <a:lnTo>
                <a:pt x="0" y="438669"/>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4C9C172-FC75-4554-962D-FD3CCEBA8F67}">
      <dsp:nvSpPr>
        <dsp:cNvPr id="0" name=""/>
        <dsp:cNvSpPr/>
      </dsp:nvSpPr>
      <dsp:spPr>
        <a:xfrm>
          <a:off x="2275271" y="431095"/>
          <a:ext cx="691632" cy="361091"/>
        </a:xfrm>
        <a:custGeom>
          <a:avLst/>
          <a:gdLst/>
          <a:ahLst/>
          <a:cxnLst/>
          <a:rect l="0" t="0" r="0" b="0"/>
          <a:pathLst>
            <a:path>
              <a:moveTo>
                <a:pt x="691632" y="0"/>
              </a:moveTo>
              <a:lnTo>
                <a:pt x="691632" y="361091"/>
              </a:lnTo>
              <a:lnTo>
                <a:pt x="0" y="361091"/>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4F9D998-4DD1-48C1-8692-887A2F2DC82C}">
      <dsp:nvSpPr>
        <dsp:cNvPr id="0" name=""/>
        <dsp:cNvSpPr/>
      </dsp:nvSpPr>
      <dsp:spPr>
        <a:xfrm>
          <a:off x="2418273" y="271"/>
          <a:ext cx="1097261" cy="430824"/>
        </a:xfrm>
        <a:prstGeom prst="rect">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hu-HU" sz="950" b="1" kern="1200">
              <a:latin typeface="Times New Roman" panose="02020603050405020304" pitchFamily="18" charset="0"/>
              <a:cs typeface="Times New Roman" panose="02020603050405020304" pitchFamily="18" charset="0"/>
            </a:rPr>
            <a:t>Agrárgazdaság hitelállománya</a:t>
          </a:r>
        </a:p>
        <a:p>
          <a:pPr lvl="0" algn="ctr" defTabSz="422275">
            <a:lnSpc>
              <a:spcPct val="90000"/>
            </a:lnSpc>
            <a:spcBef>
              <a:spcPct val="0"/>
            </a:spcBef>
            <a:spcAft>
              <a:spcPct val="35000"/>
            </a:spcAft>
          </a:pPr>
          <a:r>
            <a:rPr lang="hu-HU" sz="1000" kern="1200">
              <a:latin typeface="Times New Roman" panose="02020603050405020304" pitchFamily="18" charset="0"/>
              <a:cs typeface="Times New Roman" panose="02020603050405020304" pitchFamily="18" charset="0"/>
            </a:rPr>
            <a:t>1 804,2 millárd Ft</a:t>
          </a:r>
        </a:p>
      </dsp:txBody>
      <dsp:txXfrm>
        <a:off x="2418273" y="271"/>
        <a:ext cx="1097261" cy="430824"/>
      </dsp:txXfrm>
    </dsp:sp>
    <dsp:sp modelId="{885D38CD-EA9E-4C54-B674-931A750DBB7E}">
      <dsp:nvSpPr>
        <dsp:cNvPr id="0" name=""/>
        <dsp:cNvSpPr/>
      </dsp:nvSpPr>
      <dsp:spPr>
        <a:xfrm>
          <a:off x="1292301" y="493871"/>
          <a:ext cx="982969" cy="596631"/>
        </a:xfrm>
        <a:prstGeom prst="rect">
          <a:avLst/>
        </a:prstGeom>
        <a:solidFill>
          <a:schemeClr val="accent6">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hu-HU" sz="950" b="1" kern="1200">
              <a:latin typeface="Times New Roman" panose="02020603050405020304" pitchFamily="18" charset="0"/>
              <a:cs typeface="Times New Roman" panose="02020603050405020304" pitchFamily="18" charset="0"/>
            </a:rPr>
            <a:t>Mezőgazdaság hitelállománya</a:t>
          </a:r>
        </a:p>
        <a:p>
          <a:pPr lvl="0" algn="ctr" defTabSz="422275">
            <a:lnSpc>
              <a:spcPct val="90000"/>
            </a:lnSpc>
            <a:spcBef>
              <a:spcPct val="0"/>
            </a:spcBef>
            <a:spcAft>
              <a:spcPct val="35000"/>
            </a:spcAft>
          </a:pPr>
          <a:r>
            <a:rPr lang="hu-HU" sz="1000" kern="1200">
              <a:latin typeface="Times New Roman" panose="02020603050405020304" pitchFamily="18" charset="0"/>
              <a:cs typeface="Times New Roman" panose="02020603050405020304" pitchFamily="18" charset="0"/>
            </a:rPr>
            <a:t>1 048,2 milliárd Ft (58,1%)</a:t>
          </a:r>
        </a:p>
      </dsp:txBody>
      <dsp:txXfrm>
        <a:off x="1292301" y="493871"/>
        <a:ext cx="982969" cy="596631"/>
      </dsp:txXfrm>
    </dsp:sp>
    <dsp:sp modelId="{CB27BFB3-8820-4E70-B4DE-84842159BE5A}">
      <dsp:nvSpPr>
        <dsp:cNvPr id="0" name=""/>
        <dsp:cNvSpPr/>
      </dsp:nvSpPr>
      <dsp:spPr>
        <a:xfrm>
          <a:off x="603029" y="1201991"/>
          <a:ext cx="876694" cy="654359"/>
        </a:xfrm>
        <a:prstGeom prst="rect">
          <a:avLst/>
        </a:prstGeom>
        <a:solidFill>
          <a:schemeClr val="accent6">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hu-HU" sz="950" b="1" kern="1200">
              <a:latin typeface="Times New Roman" panose="02020603050405020304" pitchFamily="18" charset="0"/>
              <a:cs typeface="Times New Roman" panose="02020603050405020304" pitchFamily="18" charset="0"/>
            </a:rPr>
            <a:t>Egyéni gazdaságok hitelállománya</a:t>
          </a:r>
        </a:p>
        <a:p>
          <a:pPr lvl="0" algn="ctr" defTabSz="422275">
            <a:lnSpc>
              <a:spcPct val="90000"/>
            </a:lnSpc>
            <a:spcBef>
              <a:spcPct val="0"/>
            </a:spcBef>
            <a:spcAft>
              <a:spcPct val="35000"/>
            </a:spcAft>
          </a:pPr>
          <a:r>
            <a:rPr lang="hu-HU" sz="1000" kern="1200">
              <a:latin typeface="Times New Roman" panose="02020603050405020304" pitchFamily="18" charset="0"/>
              <a:cs typeface="Times New Roman" panose="02020603050405020304" pitchFamily="18" charset="0"/>
            </a:rPr>
            <a:t>375,8 milliárd Ft (35,9%)</a:t>
          </a:r>
        </a:p>
      </dsp:txBody>
      <dsp:txXfrm>
        <a:off x="603029" y="1201991"/>
        <a:ext cx="876694" cy="654359"/>
      </dsp:txXfrm>
    </dsp:sp>
    <dsp:sp modelId="{11B0E417-0961-4A80-88E5-33DA693CA8CC}">
      <dsp:nvSpPr>
        <dsp:cNvPr id="0" name=""/>
        <dsp:cNvSpPr/>
      </dsp:nvSpPr>
      <dsp:spPr>
        <a:xfrm>
          <a:off x="2051210" y="1201991"/>
          <a:ext cx="876694" cy="654359"/>
        </a:xfrm>
        <a:prstGeom prst="rect">
          <a:avLst/>
        </a:prstGeom>
        <a:solidFill>
          <a:schemeClr val="accent6">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hu-HU" sz="950" b="1" kern="1200">
              <a:latin typeface="Times New Roman" panose="02020603050405020304" pitchFamily="18" charset="0"/>
              <a:cs typeface="Times New Roman" panose="02020603050405020304" pitchFamily="18" charset="0"/>
            </a:rPr>
            <a:t>Gazdálkodó szervezetek hitelálloánya</a:t>
          </a:r>
        </a:p>
        <a:p>
          <a:pPr lvl="0" algn="ctr" defTabSz="422275">
            <a:lnSpc>
              <a:spcPct val="90000"/>
            </a:lnSpc>
            <a:spcBef>
              <a:spcPct val="0"/>
            </a:spcBef>
            <a:spcAft>
              <a:spcPct val="35000"/>
            </a:spcAft>
          </a:pPr>
          <a:r>
            <a:rPr lang="hu-HU" sz="1000" kern="1200">
              <a:latin typeface="Times New Roman" panose="02020603050405020304" pitchFamily="18" charset="0"/>
              <a:cs typeface="Times New Roman" panose="02020603050405020304" pitchFamily="18" charset="0"/>
            </a:rPr>
            <a:t>672,4 milliárd Ft (64,1%)</a:t>
          </a:r>
        </a:p>
      </dsp:txBody>
      <dsp:txXfrm>
        <a:off x="2051210" y="1201991"/>
        <a:ext cx="876694" cy="654359"/>
      </dsp:txXfrm>
    </dsp:sp>
    <dsp:sp modelId="{AAB6EDC9-0B85-47C8-914C-6B3F4ED81F57}">
      <dsp:nvSpPr>
        <dsp:cNvPr id="0" name=""/>
        <dsp:cNvSpPr/>
      </dsp:nvSpPr>
      <dsp:spPr>
        <a:xfrm>
          <a:off x="3599123" y="499951"/>
          <a:ext cx="982969" cy="596631"/>
        </a:xfrm>
        <a:prstGeom prst="rect">
          <a:avLst/>
        </a:prstGeom>
        <a:solidFill>
          <a:schemeClr val="accent5">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hu-HU" sz="950" b="1" kern="1200">
              <a:latin typeface="Times New Roman" panose="02020603050405020304" pitchFamily="18" charset="0"/>
              <a:cs typeface="Times New Roman" panose="02020603050405020304" pitchFamily="18" charset="0"/>
            </a:rPr>
            <a:t>Élelmiszeripar hitelállománya</a:t>
          </a:r>
        </a:p>
        <a:p>
          <a:pPr lvl="0" algn="ctr" defTabSz="422275">
            <a:lnSpc>
              <a:spcPct val="90000"/>
            </a:lnSpc>
            <a:spcBef>
              <a:spcPct val="0"/>
            </a:spcBef>
            <a:spcAft>
              <a:spcPct val="35000"/>
            </a:spcAft>
          </a:pPr>
          <a:r>
            <a:rPr lang="hu-HU" sz="1000" kern="1200">
              <a:latin typeface="Times New Roman" panose="02020603050405020304" pitchFamily="18" charset="0"/>
              <a:cs typeface="Times New Roman" panose="02020603050405020304" pitchFamily="18" charset="0"/>
            </a:rPr>
            <a:t>756,0 milliárd Ft (41,9%)</a:t>
          </a:r>
        </a:p>
      </dsp:txBody>
      <dsp:txXfrm>
        <a:off x="3599123" y="499951"/>
        <a:ext cx="982969" cy="596631"/>
      </dsp:txXfrm>
    </dsp:sp>
    <dsp:sp modelId="{9F4EEC35-DFED-4569-9DD5-39340700EAD0}">
      <dsp:nvSpPr>
        <dsp:cNvPr id="0" name=""/>
        <dsp:cNvSpPr/>
      </dsp:nvSpPr>
      <dsp:spPr>
        <a:xfrm>
          <a:off x="3042455" y="1201988"/>
          <a:ext cx="808100" cy="654359"/>
        </a:xfrm>
        <a:prstGeom prst="rect">
          <a:avLst/>
        </a:prstGeom>
        <a:solidFill>
          <a:schemeClr val="accent5">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hu-HU" sz="950" b="1" kern="1200">
              <a:latin typeface="Times New Roman" panose="02020603050405020304" pitchFamily="18" charset="0"/>
              <a:cs typeface="Times New Roman" panose="02020603050405020304" pitchFamily="18" charset="0"/>
            </a:rPr>
            <a:t>Egyéni gazdaságok hitelállománya</a:t>
          </a:r>
        </a:p>
        <a:p>
          <a:pPr lvl="0" algn="ctr" defTabSz="422275">
            <a:lnSpc>
              <a:spcPct val="90000"/>
            </a:lnSpc>
            <a:spcBef>
              <a:spcPct val="0"/>
            </a:spcBef>
            <a:spcAft>
              <a:spcPct val="35000"/>
            </a:spcAft>
          </a:pPr>
          <a:r>
            <a:rPr lang="hu-HU" sz="1000" kern="1200">
              <a:latin typeface="Times New Roman" panose="02020603050405020304" pitchFamily="18" charset="0"/>
              <a:cs typeface="Times New Roman" panose="02020603050405020304" pitchFamily="18" charset="0"/>
            </a:rPr>
            <a:t> 5,4 milliárd Ft (0,7%)</a:t>
          </a:r>
        </a:p>
      </dsp:txBody>
      <dsp:txXfrm>
        <a:off x="3042455" y="1201988"/>
        <a:ext cx="808100" cy="654359"/>
      </dsp:txXfrm>
    </dsp:sp>
    <dsp:sp modelId="{2F778BFD-A1CD-4044-B7FC-56565A99FD51}">
      <dsp:nvSpPr>
        <dsp:cNvPr id="0" name=""/>
        <dsp:cNvSpPr/>
      </dsp:nvSpPr>
      <dsp:spPr>
        <a:xfrm>
          <a:off x="4312377" y="1201988"/>
          <a:ext cx="1018579" cy="682745"/>
        </a:xfrm>
        <a:prstGeom prst="rect">
          <a:avLst/>
        </a:prstGeom>
        <a:solidFill>
          <a:schemeClr val="accent5">
            <a:lumMod val="20000"/>
            <a:lumOff val="80000"/>
          </a:schemeClr>
        </a:soli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6350" tIns="6350" rIns="6350" bIns="6350" numCol="1" spcCol="1270" anchor="ctr" anchorCtr="0">
          <a:noAutofit/>
        </a:bodyPr>
        <a:lstStyle/>
        <a:p>
          <a:pPr lvl="0" algn="ctr" defTabSz="422275">
            <a:lnSpc>
              <a:spcPct val="90000"/>
            </a:lnSpc>
            <a:spcBef>
              <a:spcPct val="0"/>
            </a:spcBef>
            <a:spcAft>
              <a:spcPct val="35000"/>
            </a:spcAft>
          </a:pPr>
          <a:r>
            <a:rPr lang="hu-HU" sz="950" b="1" kern="1200">
              <a:latin typeface="Times New Roman" panose="02020603050405020304" pitchFamily="18" charset="0"/>
              <a:cs typeface="Times New Roman" panose="02020603050405020304" pitchFamily="18" charset="0"/>
            </a:rPr>
            <a:t>Gazdálkodó szervezetek hitelállománya</a:t>
          </a:r>
        </a:p>
        <a:p>
          <a:pPr lvl="0" algn="ctr" defTabSz="422275">
            <a:lnSpc>
              <a:spcPct val="90000"/>
            </a:lnSpc>
            <a:spcBef>
              <a:spcPct val="0"/>
            </a:spcBef>
            <a:spcAft>
              <a:spcPct val="35000"/>
            </a:spcAft>
          </a:pPr>
          <a:r>
            <a:rPr lang="hu-HU" sz="1000" kern="1200">
              <a:latin typeface="Times New Roman" panose="02020603050405020304" pitchFamily="18" charset="0"/>
              <a:cs typeface="Times New Roman" panose="02020603050405020304" pitchFamily="18" charset="0"/>
            </a:rPr>
            <a:t> 756,6 milliárd Ft (99,3%)</a:t>
          </a:r>
        </a:p>
      </dsp:txBody>
      <dsp:txXfrm>
        <a:off x="4312377" y="1201988"/>
        <a:ext cx="1018579" cy="68274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76090-D63F-48F7-ACD9-4BA24208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1335</Words>
  <Characters>9217</Characters>
  <Application>Microsoft Office Word</Application>
  <DocSecurity>0</DocSecurity>
  <Lines>76</Lines>
  <Paragraphs>21</Paragraphs>
  <ScaleCrop>false</ScaleCrop>
  <HeadingPairs>
    <vt:vector size="2" baseType="variant">
      <vt:variant>
        <vt:lpstr>Cím</vt:lpstr>
      </vt:variant>
      <vt:variant>
        <vt:i4>1</vt:i4>
      </vt:variant>
    </vt:vector>
  </HeadingPairs>
  <TitlesOfParts>
    <vt:vector size="1" baseType="lpstr">
      <vt:lpstr/>
    </vt:vector>
  </TitlesOfParts>
  <Company>KD</Company>
  <LinksUpToDate>false</LinksUpToDate>
  <CharactersWithSpaces>10531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Móró-Szalai Lídia</dc:creator>
  <cp:lastModifiedBy>Reiter Szilvia</cp:lastModifiedBy>
  <cp:revision>2</cp:revision>
  <cp:lastPrinted>2024-06-18T14:06:00Z</cp:lastPrinted>
  <dcterms:created xsi:type="dcterms:W3CDTF">2025-03-07T12:44:00Z</dcterms:created>
  <dcterms:modified xsi:type="dcterms:W3CDTF">2025-03-07T12:44:00Z</dcterms:modified>
</cp:coreProperties>
</file>