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707" w:rsidRPr="00CE6C2F" w:rsidRDefault="00C16707" w:rsidP="00C16707">
      <w:pPr>
        <w:jc w:val="center"/>
        <w:rPr>
          <w:rFonts w:ascii="Times New Roman" w:hAnsi="Times New Roman" w:cs="Times New Roman"/>
          <w:b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Minőségjelentés- adatgyűjtések</w:t>
      </w:r>
    </w:p>
    <w:p w:rsidR="00C16707" w:rsidRPr="00CE6C2F" w:rsidRDefault="00C16707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CE6C2F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CE6C2F">
        <w:rPr>
          <w:b/>
        </w:rPr>
        <w:t>Általános információk:</w:t>
      </w:r>
    </w:p>
    <w:p w:rsidR="00C16707" w:rsidRPr="00CE6C2F" w:rsidRDefault="00C16707" w:rsidP="00FD6003">
      <w:pPr>
        <w:pStyle w:val="Listaszerbekezds"/>
        <w:spacing w:after="120"/>
        <w:contextualSpacing w:val="0"/>
        <w:jc w:val="both"/>
      </w:pPr>
    </w:p>
    <w:p w:rsidR="00C16707" w:rsidRPr="00CE6C2F" w:rsidRDefault="00C16707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Adatgyűjtés címe:</w:t>
      </w:r>
      <w:r w:rsidR="00792D2F" w:rsidRPr="00CE6C2F">
        <w:rPr>
          <w:rFonts w:ascii="Times New Roman" w:hAnsi="Times New Roman" w:cs="Times New Roman"/>
          <w:sz w:val="24"/>
        </w:rPr>
        <w:t xml:space="preserve"> Tájékoztat</w:t>
      </w:r>
      <w:r w:rsidR="00F33765">
        <w:rPr>
          <w:rFonts w:ascii="Times New Roman" w:hAnsi="Times New Roman" w:cs="Times New Roman"/>
          <w:sz w:val="24"/>
        </w:rPr>
        <w:t xml:space="preserve">ás az agrárgazdaság hiteleiről </w:t>
      </w:r>
      <w:r w:rsidR="00792D2F" w:rsidRPr="00CE6C2F">
        <w:rPr>
          <w:rFonts w:ascii="Times New Roman" w:hAnsi="Times New Roman" w:cs="Times New Roman"/>
          <w:sz w:val="24"/>
        </w:rPr>
        <w:t>és a támogatás mellett igényelhető agrárgazdasági hitelekről</w:t>
      </w:r>
    </w:p>
    <w:p w:rsidR="00C16707" w:rsidRPr="00CE6C2F" w:rsidRDefault="00C16707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Adatgyűjtés OSAP nyilvántartási száma:</w:t>
      </w:r>
      <w:r w:rsidR="00792D2F" w:rsidRPr="00CE6C2F">
        <w:rPr>
          <w:rFonts w:ascii="Times New Roman" w:hAnsi="Times New Roman" w:cs="Times New Roman"/>
          <w:sz w:val="24"/>
        </w:rPr>
        <w:t xml:space="preserve"> 1703</w:t>
      </w:r>
    </w:p>
    <w:p w:rsidR="00C16707" w:rsidRPr="00CE6C2F" w:rsidRDefault="00C16707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Adatszolgáltatók meghatározása:</w:t>
      </w:r>
      <w:r w:rsidR="00792D2F" w:rsidRPr="00CE6C2F">
        <w:t xml:space="preserve"> </w:t>
      </w:r>
      <w:r w:rsidR="00792D2F" w:rsidRPr="00CE6C2F">
        <w:rPr>
          <w:rFonts w:ascii="Times New Roman" w:hAnsi="Times New Roman" w:cs="Times New Roman"/>
          <w:sz w:val="24"/>
        </w:rPr>
        <w:t>kereskedelmi bankok, szakosított hitelintézetek, a külföldi hitelintézetek 100 milliárd forintot meghaladó mérlegfőösszeggel rendelkező magyarországi fióktelepei, valamint a szövetkezeti hitelintézetek.</w:t>
      </w:r>
    </w:p>
    <w:p w:rsidR="00C16707" w:rsidRPr="00CE6C2F" w:rsidRDefault="00C16707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Adatszolgáltatók száma:</w:t>
      </w:r>
      <w:r w:rsidR="00792D2F" w:rsidRPr="00CE6C2F">
        <w:rPr>
          <w:rFonts w:ascii="Times New Roman" w:hAnsi="Times New Roman" w:cs="Times New Roman"/>
          <w:sz w:val="24"/>
        </w:rPr>
        <w:t xml:space="preserve"> 3</w:t>
      </w:r>
      <w:r w:rsidR="00FD0AF6">
        <w:rPr>
          <w:rFonts w:ascii="Times New Roman" w:hAnsi="Times New Roman" w:cs="Times New Roman"/>
          <w:sz w:val="24"/>
        </w:rPr>
        <w:t>2</w:t>
      </w:r>
    </w:p>
    <w:p w:rsidR="00C16707" w:rsidRPr="00CE6C2F" w:rsidRDefault="00C16707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Adatgyűjtés módja:</w:t>
      </w:r>
      <w:r w:rsidRPr="00CE6C2F">
        <w:rPr>
          <w:rFonts w:ascii="Times New Roman" w:hAnsi="Times New Roman" w:cs="Times New Roman"/>
          <w:sz w:val="24"/>
        </w:rPr>
        <w:t xml:space="preserve"> teljes körű</w:t>
      </w:r>
    </w:p>
    <w:p w:rsidR="00C16707" w:rsidRPr="00CE6C2F" w:rsidRDefault="00C16707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Gyakorisága:</w:t>
      </w:r>
      <w:r w:rsidR="00792D2F" w:rsidRPr="00CE6C2F">
        <w:rPr>
          <w:rFonts w:ascii="Times New Roman" w:hAnsi="Times New Roman" w:cs="Times New Roman"/>
          <w:sz w:val="24"/>
        </w:rPr>
        <w:t xml:space="preserve"> negyedévente</w:t>
      </w:r>
    </w:p>
    <w:p w:rsidR="00C16707" w:rsidRPr="00CE6C2F" w:rsidRDefault="00C16707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Beérkezési határidő:</w:t>
      </w:r>
      <w:r w:rsidR="00792D2F" w:rsidRPr="00CE6C2F">
        <w:rPr>
          <w:rFonts w:ascii="Times New Roman" w:hAnsi="Times New Roman" w:cs="Times New Roman"/>
          <w:sz w:val="24"/>
        </w:rPr>
        <w:t xml:space="preserve"> </w:t>
      </w:r>
      <w:r w:rsidR="001F0932" w:rsidRPr="00CE6C2F">
        <w:rPr>
          <w:rFonts w:ascii="Times New Roman" w:hAnsi="Times New Roman" w:cs="Times New Roman"/>
          <w:sz w:val="24"/>
        </w:rPr>
        <w:t>tárgy</w:t>
      </w:r>
      <w:r w:rsidR="00792D2F" w:rsidRPr="00CE6C2F">
        <w:rPr>
          <w:rFonts w:ascii="Times New Roman" w:hAnsi="Times New Roman" w:cs="Times New Roman"/>
          <w:sz w:val="24"/>
        </w:rPr>
        <w:t>negyedévet követő hó 15. napjáig</w:t>
      </w:r>
    </w:p>
    <w:p w:rsidR="00C16707" w:rsidRDefault="00C16707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Tervezett publikálás időpontja:</w:t>
      </w:r>
      <w:r w:rsidR="00187BF3" w:rsidRPr="00CE6C2F">
        <w:rPr>
          <w:rFonts w:ascii="Times New Roman" w:hAnsi="Times New Roman" w:cs="Times New Roman"/>
          <w:sz w:val="24"/>
        </w:rPr>
        <w:t xml:space="preserve"> </w:t>
      </w:r>
      <w:r w:rsidR="00E709F7">
        <w:rPr>
          <w:rFonts w:ascii="Times New Roman" w:hAnsi="Times New Roman" w:cs="Times New Roman"/>
          <w:sz w:val="24"/>
        </w:rPr>
        <w:t>május</w:t>
      </w:r>
      <w:r w:rsidR="001D6459">
        <w:rPr>
          <w:rFonts w:ascii="Times New Roman" w:hAnsi="Times New Roman" w:cs="Times New Roman"/>
          <w:sz w:val="24"/>
        </w:rPr>
        <w:t xml:space="preserve"> 15</w:t>
      </w:r>
      <w:r w:rsidR="00F33765">
        <w:rPr>
          <w:rFonts w:ascii="Times New Roman" w:hAnsi="Times New Roman" w:cs="Times New Roman"/>
          <w:sz w:val="24"/>
        </w:rPr>
        <w:t>.</w:t>
      </w:r>
    </w:p>
    <w:p w:rsidR="00FD6003" w:rsidRPr="00CE6C2F" w:rsidRDefault="00FD6003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16707" w:rsidRPr="00CE6C2F" w:rsidRDefault="00C16707" w:rsidP="00FD6003">
      <w:pPr>
        <w:pStyle w:val="Listaszerbekezds"/>
        <w:numPr>
          <w:ilvl w:val="0"/>
          <w:numId w:val="3"/>
        </w:numPr>
        <w:spacing w:after="120"/>
        <w:contextualSpacing w:val="0"/>
        <w:jc w:val="both"/>
        <w:rPr>
          <w:rFonts w:eastAsiaTheme="minorHAnsi"/>
          <w:b/>
          <w:lang w:eastAsia="en-US"/>
        </w:rPr>
      </w:pPr>
      <w:r w:rsidRPr="00CE6C2F">
        <w:rPr>
          <w:rFonts w:eastAsiaTheme="minorHAnsi"/>
          <w:b/>
          <w:lang w:eastAsia="en-US"/>
        </w:rPr>
        <w:t>Az adatgyűjtés tárgyidőszaki minősége</w:t>
      </w:r>
    </w:p>
    <w:p w:rsidR="00C16707" w:rsidRPr="00CE6C2F" w:rsidRDefault="00C16707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Relevancia:</w:t>
      </w:r>
      <w:r w:rsidRPr="00CE6C2F">
        <w:rPr>
          <w:rFonts w:ascii="Times New Roman" w:hAnsi="Times New Roman" w:cs="Times New Roman"/>
          <w:sz w:val="24"/>
        </w:rPr>
        <w:t xml:space="preserve"> </w:t>
      </w:r>
      <w:r w:rsidR="00187BF3" w:rsidRPr="00CE6C2F">
        <w:rPr>
          <w:rFonts w:ascii="Times New Roman" w:hAnsi="Times New Roman" w:cs="Times New Roman"/>
          <w:sz w:val="24"/>
        </w:rPr>
        <w:t xml:space="preserve">A felhasználók informatívnak tartják az adatokat. </w:t>
      </w:r>
      <w:r w:rsidR="009B6198" w:rsidRPr="00CE6C2F">
        <w:rPr>
          <w:rFonts w:ascii="Times New Roman" w:hAnsi="Times New Roman" w:cs="Times New Roman"/>
          <w:sz w:val="24"/>
        </w:rPr>
        <w:t xml:space="preserve">A jelzett esetleges eltérések ellenőrzésre kerültek. A felhasználók igénye teljes mértékben figyelembe lett véve.  </w:t>
      </w:r>
    </w:p>
    <w:p w:rsidR="004D479C" w:rsidRPr="00CE6C2F" w:rsidRDefault="00C16707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Pontosság:</w:t>
      </w:r>
      <w:r w:rsidRPr="00CE6C2F">
        <w:rPr>
          <w:rFonts w:ascii="Times New Roman" w:hAnsi="Times New Roman" w:cs="Times New Roman"/>
          <w:sz w:val="24"/>
        </w:rPr>
        <w:t xml:space="preserve"> </w:t>
      </w:r>
      <w:r w:rsidR="004D479C" w:rsidRPr="00CE6C2F">
        <w:rPr>
          <w:rFonts w:ascii="Times New Roman" w:hAnsi="Times New Roman" w:cs="Times New Roman"/>
          <w:sz w:val="24"/>
        </w:rPr>
        <w:t>Az adatok folyamatos ellenőrzésével az adatok pontossága egyre jobb, ugyanakkor még m</w:t>
      </w:r>
      <w:r w:rsidR="00187BF3" w:rsidRPr="00CE6C2F">
        <w:rPr>
          <w:rFonts w:ascii="Times New Roman" w:hAnsi="Times New Roman" w:cs="Times New Roman"/>
          <w:sz w:val="24"/>
        </w:rPr>
        <w:t>indig előfordulnak hibás adatszolgáltatások</w:t>
      </w:r>
      <w:r w:rsidR="004D479C" w:rsidRPr="00CE6C2F">
        <w:rPr>
          <w:rFonts w:ascii="Times New Roman" w:hAnsi="Times New Roman" w:cs="Times New Roman"/>
          <w:sz w:val="24"/>
        </w:rPr>
        <w:t>, amelyek csak esetlegesen</w:t>
      </w:r>
      <w:r w:rsidR="00310B40">
        <w:rPr>
          <w:rFonts w:ascii="Times New Roman" w:hAnsi="Times New Roman" w:cs="Times New Roman"/>
          <w:sz w:val="24"/>
        </w:rPr>
        <w:t>,</w:t>
      </w:r>
      <w:r w:rsidR="004D479C" w:rsidRPr="00CE6C2F">
        <w:rPr>
          <w:rFonts w:ascii="Times New Roman" w:hAnsi="Times New Roman" w:cs="Times New Roman"/>
          <w:sz w:val="24"/>
        </w:rPr>
        <w:t xml:space="preserve"> később kerülnek észlelésre és kijavításra. </w:t>
      </w:r>
    </w:p>
    <w:p w:rsidR="003F77E3" w:rsidRPr="00CE6C2F" w:rsidRDefault="003F77E3" w:rsidP="00FD600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Indikátorok:</w:t>
      </w:r>
    </w:p>
    <w:p w:rsidR="0014729B" w:rsidRPr="00CE6C2F" w:rsidRDefault="003F77E3" w:rsidP="00FD600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0B40">
        <w:rPr>
          <w:rFonts w:ascii="Times New Roman" w:hAnsi="Times New Roman" w:cs="Times New Roman"/>
          <w:b/>
          <w:sz w:val="24"/>
        </w:rPr>
        <w:t>Egység szintű súlyozatlan beérkezési arány:</w:t>
      </w:r>
      <w:r w:rsidRPr="00CE6C2F">
        <w:rPr>
          <w:rFonts w:ascii="Times New Roman" w:hAnsi="Times New Roman" w:cs="Times New Roman"/>
          <w:sz w:val="24"/>
        </w:rPr>
        <w:t xml:space="preserve"> </w:t>
      </w:r>
      <w:r w:rsidR="00C24256" w:rsidRPr="00CE6C2F">
        <w:rPr>
          <w:rFonts w:ascii="Times New Roman" w:hAnsi="Times New Roman" w:cs="Times New Roman"/>
          <w:sz w:val="24"/>
        </w:rPr>
        <w:t>adatot küldő adatszolgáltató</w:t>
      </w:r>
      <w:r w:rsidRPr="00CE6C2F">
        <w:rPr>
          <w:rFonts w:ascii="Times New Roman" w:hAnsi="Times New Roman" w:cs="Times New Roman"/>
          <w:sz w:val="24"/>
        </w:rPr>
        <w:t>/összes adatszolgáltató</w:t>
      </w:r>
      <w:r w:rsidR="00F33F5B" w:rsidRPr="00CE6C2F">
        <w:rPr>
          <w:rFonts w:ascii="Times New Roman" w:hAnsi="Times New Roman" w:cs="Times New Roman"/>
          <w:sz w:val="24"/>
        </w:rPr>
        <w:t xml:space="preserve"> </w:t>
      </w:r>
      <w:r w:rsidR="009C6E8F" w:rsidRPr="00CE6C2F">
        <w:rPr>
          <w:rFonts w:ascii="Times New Roman" w:hAnsi="Times New Roman" w:cs="Times New Roman"/>
          <w:sz w:val="24"/>
        </w:rPr>
        <w:t>= 9</w:t>
      </w:r>
      <w:r w:rsidR="00C0561B">
        <w:rPr>
          <w:rFonts w:ascii="Times New Roman" w:hAnsi="Times New Roman" w:cs="Times New Roman"/>
          <w:sz w:val="24"/>
        </w:rPr>
        <w:t>0</w:t>
      </w:r>
      <w:r w:rsidR="005F6EA0">
        <w:rPr>
          <w:rFonts w:ascii="Times New Roman" w:hAnsi="Times New Roman" w:cs="Times New Roman"/>
          <w:sz w:val="24"/>
        </w:rPr>
        <w:t>,</w:t>
      </w:r>
      <w:r w:rsidR="00C0561B">
        <w:rPr>
          <w:rFonts w:ascii="Times New Roman" w:hAnsi="Times New Roman" w:cs="Times New Roman"/>
          <w:sz w:val="24"/>
        </w:rPr>
        <w:t>62</w:t>
      </w:r>
      <w:r w:rsidR="009C6E8F" w:rsidRPr="00CE6C2F">
        <w:rPr>
          <w:rFonts w:ascii="Times New Roman" w:hAnsi="Times New Roman" w:cs="Times New Roman"/>
          <w:sz w:val="24"/>
        </w:rPr>
        <w:t>%</w:t>
      </w:r>
      <w:r w:rsidRPr="00CE6C2F">
        <w:rPr>
          <w:rFonts w:ascii="Times New Roman" w:hAnsi="Times New Roman" w:cs="Times New Roman"/>
          <w:sz w:val="24"/>
        </w:rPr>
        <w:tab/>
      </w:r>
      <w:r w:rsidRPr="00CE6C2F">
        <w:rPr>
          <w:rFonts w:ascii="Times New Roman" w:hAnsi="Times New Roman" w:cs="Times New Roman"/>
          <w:sz w:val="24"/>
        </w:rPr>
        <w:tab/>
      </w:r>
    </w:p>
    <w:p w:rsidR="00FA7678" w:rsidRPr="00CE6C2F" w:rsidRDefault="00FA7678" w:rsidP="00FD600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0B40">
        <w:rPr>
          <w:rFonts w:ascii="Times New Roman" w:hAnsi="Times New Roman" w:cs="Times New Roman"/>
          <w:b/>
          <w:sz w:val="24"/>
        </w:rPr>
        <w:t>Egység szintű imputálási arány:</w:t>
      </w:r>
      <w:r w:rsidR="00310B40">
        <w:rPr>
          <w:rFonts w:ascii="Times New Roman" w:hAnsi="Times New Roman" w:cs="Times New Roman"/>
          <w:sz w:val="24"/>
        </w:rPr>
        <w:t xml:space="preserve"> </w:t>
      </w:r>
      <w:r w:rsidRPr="00CE6C2F">
        <w:rPr>
          <w:rFonts w:ascii="Times New Roman" w:hAnsi="Times New Roman" w:cs="Times New Roman"/>
          <w:sz w:val="24"/>
        </w:rPr>
        <w:t>imputált adatszolgáltatók</w:t>
      </w:r>
      <w:r w:rsidR="007110DA" w:rsidRPr="00CE6C2F">
        <w:rPr>
          <w:rFonts w:ascii="Times New Roman" w:hAnsi="Times New Roman" w:cs="Times New Roman"/>
          <w:sz w:val="24"/>
        </w:rPr>
        <w:t xml:space="preserve"> száma</w:t>
      </w:r>
      <w:r w:rsidRPr="00CE6C2F">
        <w:rPr>
          <w:rFonts w:ascii="Times New Roman" w:hAnsi="Times New Roman" w:cs="Times New Roman"/>
          <w:sz w:val="24"/>
        </w:rPr>
        <w:t>/összes adatszolgáltató</w:t>
      </w:r>
      <w:r w:rsidR="0014729B" w:rsidRPr="00CE6C2F">
        <w:rPr>
          <w:rFonts w:ascii="Times New Roman" w:hAnsi="Times New Roman" w:cs="Times New Roman"/>
          <w:sz w:val="24"/>
        </w:rPr>
        <w:t xml:space="preserve"> = 0%</w:t>
      </w:r>
    </w:p>
    <w:p w:rsidR="00310B40" w:rsidRDefault="00FA7678" w:rsidP="00FD60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0B40">
        <w:rPr>
          <w:rFonts w:ascii="Times New Roman" w:hAnsi="Times New Roman" w:cs="Times New Roman"/>
          <w:b/>
          <w:sz w:val="24"/>
        </w:rPr>
        <w:t>Tétel szintű imputálási arány:</w:t>
      </w:r>
      <w:r w:rsidRPr="00CE6C2F">
        <w:rPr>
          <w:rFonts w:ascii="Times New Roman" w:hAnsi="Times New Roman" w:cs="Times New Roman"/>
          <w:sz w:val="24"/>
        </w:rPr>
        <w:t xml:space="preserve"> </w:t>
      </w:r>
      <w:r w:rsidR="007110DA" w:rsidRPr="00CE6C2F">
        <w:rPr>
          <w:rFonts w:ascii="Times New Roman" w:hAnsi="Times New Roman" w:cs="Times New Roman"/>
          <w:sz w:val="24"/>
        </w:rPr>
        <w:t>imputált értékek</w:t>
      </w:r>
      <w:r w:rsidRPr="00CE6C2F">
        <w:rPr>
          <w:rFonts w:ascii="Times New Roman" w:hAnsi="Times New Roman" w:cs="Times New Roman"/>
          <w:sz w:val="24"/>
        </w:rPr>
        <w:t xml:space="preserve"> száma/</w:t>
      </w:r>
      <w:r w:rsidR="007110DA" w:rsidRPr="00CE6C2F">
        <w:rPr>
          <w:rFonts w:ascii="Times New Roman" w:hAnsi="Times New Roman" w:cs="Times New Roman"/>
          <w:sz w:val="24"/>
        </w:rPr>
        <w:t xml:space="preserve">összes érték </w:t>
      </w:r>
    </w:p>
    <w:p w:rsidR="00FA7678" w:rsidRPr="00DF613D" w:rsidRDefault="007110DA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sz w:val="24"/>
        </w:rPr>
        <w:t>adathelyenként</w:t>
      </w:r>
      <w:r w:rsidR="0014729B" w:rsidRPr="00CE6C2F">
        <w:rPr>
          <w:rFonts w:ascii="Times New Roman" w:hAnsi="Times New Roman" w:cs="Times New Roman"/>
          <w:sz w:val="24"/>
        </w:rPr>
        <w:t xml:space="preserve"> = 0%</w:t>
      </w:r>
    </w:p>
    <w:p w:rsidR="007110DA" w:rsidRPr="008630E8" w:rsidRDefault="007110DA" w:rsidP="00FD600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0B40">
        <w:rPr>
          <w:rFonts w:ascii="Times New Roman" w:hAnsi="Times New Roman" w:cs="Times New Roman"/>
          <w:b/>
          <w:sz w:val="24"/>
        </w:rPr>
        <w:t>Módosítási arány:</w:t>
      </w:r>
      <w:r w:rsidRPr="008630E8">
        <w:rPr>
          <w:rFonts w:ascii="Times New Roman" w:hAnsi="Times New Roman" w:cs="Times New Roman"/>
          <w:sz w:val="24"/>
        </w:rPr>
        <w:t xml:space="preserve"> módosított rekordok száma/összes rekord</w:t>
      </w:r>
      <w:r w:rsidR="008630E8" w:rsidRPr="008630E8">
        <w:rPr>
          <w:rFonts w:ascii="Times New Roman" w:hAnsi="Times New Roman" w:cs="Times New Roman"/>
          <w:sz w:val="24"/>
        </w:rPr>
        <w:t xml:space="preserve">: </w:t>
      </w:r>
      <w:r w:rsidR="005F6EA0">
        <w:rPr>
          <w:rFonts w:ascii="Times New Roman" w:hAnsi="Times New Roman" w:cs="Times New Roman"/>
          <w:sz w:val="24"/>
        </w:rPr>
        <w:t>3</w:t>
      </w:r>
      <w:r w:rsidR="00C0561B">
        <w:rPr>
          <w:rFonts w:ascii="Times New Roman" w:hAnsi="Times New Roman" w:cs="Times New Roman"/>
          <w:sz w:val="24"/>
        </w:rPr>
        <w:t>9366</w:t>
      </w:r>
      <w:r w:rsidR="00634806">
        <w:rPr>
          <w:rFonts w:ascii="Times New Roman" w:hAnsi="Times New Roman" w:cs="Times New Roman"/>
          <w:sz w:val="24"/>
        </w:rPr>
        <w:t>/</w:t>
      </w:r>
      <w:r w:rsidR="00C0561B">
        <w:rPr>
          <w:rFonts w:ascii="Times New Roman" w:hAnsi="Times New Roman" w:cs="Times New Roman"/>
          <w:sz w:val="24"/>
        </w:rPr>
        <w:t>99456</w:t>
      </w:r>
      <w:r w:rsidR="00A53292">
        <w:rPr>
          <w:rFonts w:ascii="Times New Roman" w:hAnsi="Times New Roman" w:cs="Times New Roman"/>
          <w:sz w:val="24"/>
        </w:rPr>
        <w:t xml:space="preserve"> </w:t>
      </w:r>
      <w:r w:rsidR="006015F7">
        <w:rPr>
          <w:rFonts w:ascii="Times New Roman" w:hAnsi="Times New Roman" w:cs="Times New Roman"/>
          <w:sz w:val="24"/>
        </w:rPr>
        <w:t>=</w:t>
      </w:r>
      <w:r w:rsidR="00A53292">
        <w:rPr>
          <w:rFonts w:ascii="Times New Roman" w:hAnsi="Times New Roman" w:cs="Times New Roman"/>
          <w:sz w:val="24"/>
        </w:rPr>
        <w:t xml:space="preserve"> </w:t>
      </w:r>
      <w:r w:rsidR="00C0561B">
        <w:rPr>
          <w:rFonts w:ascii="Times New Roman" w:hAnsi="Times New Roman" w:cs="Times New Roman"/>
          <w:sz w:val="24"/>
        </w:rPr>
        <w:t>1,68</w:t>
      </w:r>
      <w:r w:rsidR="006015F7">
        <w:rPr>
          <w:rFonts w:ascii="Times New Roman" w:hAnsi="Times New Roman" w:cs="Times New Roman"/>
          <w:sz w:val="24"/>
        </w:rPr>
        <w:t>%</w:t>
      </w:r>
    </w:p>
    <w:p w:rsidR="0014729B" w:rsidRPr="00CE6C2F" w:rsidRDefault="00C16707" w:rsidP="00FD6003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Időszerűség:</w:t>
      </w:r>
      <w:r w:rsidR="008C5586" w:rsidRPr="00CE6C2F">
        <w:rPr>
          <w:rFonts w:ascii="Times New Roman" w:hAnsi="Times New Roman" w:cs="Times New Roman"/>
          <w:sz w:val="24"/>
        </w:rPr>
        <w:t>(</w:t>
      </w:r>
      <w:r w:rsidRPr="00CE6C2F">
        <w:rPr>
          <w:rFonts w:ascii="Times New Roman" w:hAnsi="Times New Roman" w:cs="Times New Roman"/>
          <w:sz w:val="24"/>
        </w:rPr>
        <w:t>a tervezett közzététel és a leírt esemény referenciaideje közötti idő hossza</w:t>
      </w:r>
      <w:r w:rsidR="008C5586" w:rsidRPr="00CE6C2F">
        <w:rPr>
          <w:rFonts w:ascii="Times New Roman" w:hAnsi="Times New Roman" w:cs="Times New Roman"/>
          <w:sz w:val="24"/>
        </w:rPr>
        <w:t>):</w:t>
      </w:r>
      <w:r w:rsidR="00FD6003">
        <w:rPr>
          <w:rFonts w:ascii="Times New Roman" w:hAnsi="Times New Roman" w:cs="Times New Roman"/>
          <w:sz w:val="24"/>
        </w:rPr>
        <w:t xml:space="preserve"> </w:t>
      </w:r>
      <w:r w:rsidR="00187BF3" w:rsidRPr="00CE6C2F">
        <w:rPr>
          <w:rFonts w:ascii="Times New Roman" w:hAnsi="Times New Roman" w:cs="Times New Roman"/>
          <w:sz w:val="24"/>
        </w:rPr>
        <w:t xml:space="preserve">30 </w:t>
      </w:r>
      <w:r w:rsidR="0014729B" w:rsidRPr="00CE6C2F">
        <w:rPr>
          <w:rFonts w:ascii="Times New Roman" w:hAnsi="Times New Roman" w:cs="Times New Roman"/>
          <w:sz w:val="24"/>
        </w:rPr>
        <w:t>nap</w:t>
      </w:r>
    </w:p>
    <w:p w:rsidR="0014729B" w:rsidRPr="00CE6C2F" w:rsidRDefault="00C16707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Időbeli pontosság</w:t>
      </w:r>
      <w:r w:rsidR="000E4D82">
        <w:rPr>
          <w:rFonts w:ascii="Times New Roman" w:hAnsi="Times New Roman" w:cs="Times New Roman"/>
          <w:b/>
          <w:sz w:val="24"/>
        </w:rPr>
        <w:t xml:space="preserve"> (a publikálás tervezett időpontja tartható-e?)</w:t>
      </w:r>
      <w:r w:rsidRPr="00CE6C2F">
        <w:rPr>
          <w:rFonts w:ascii="Times New Roman" w:hAnsi="Times New Roman" w:cs="Times New Roman"/>
          <w:b/>
          <w:sz w:val="24"/>
        </w:rPr>
        <w:t>:</w:t>
      </w:r>
      <w:r w:rsidRPr="00CE6C2F">
        <w:rPr>
          <w:rFonts w:ascii="Times New Roman" w:hAnsi="Times New Roman" w:cs="Times New Roman"/>
          <w:sz w:val="24"/>
        </w:rPr>
        <w:t xml:space="preserve"> </w:t>
      </w:r>
      <w:r w:rsidR="007A63D6">
        <w:rPr>
          <w:rFonts w:ascii="Times New Roman" w:hAnsi="Times New Roman" w:cs="Times New Roman"/>
          <w:sz w:val="24"/>
        </w:rPr>
        <w:t>igen</w:t>
      </w:r>
    </w:p>
    <w:p w:rsidR="005A47B6" w:rsidRPr="00CE6C2F" w:rsidRDefault="00C16707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Hozzáférhetőség</w:t>
      </w:r>
      <w:r w:rsidR="000E4D82">
        <w:rPr>
          <w:rFonts w:ascii="Times New Roman" w:hAnsi="Times New Roman" w:cs="Times New Roman"/>
          <w:b/>
          <w:sz w:val="24"/>
        </w:rPr>
        <w:t xml:space="preserve"> (</w:t>
      </w:r>
      <w:r w:rsidR="000E4D82" w:rsidRPr="000E4D82">
        <w:rPr>
          <w:rFonts w:ascii="Times New Roman" w:hAnsi="Times New Roman" w:cs="Times New Roman"/>
          <w:b/>
          <w:sz w:val="24"/>
        </w:rPr>
        <w:t>az előállított adatokat hol jelennek meg</w:t>
      </w:r>
      <w:r w:rsidR="000E4D82">
        <w:rPr>
          <w:rFonts w:ascii="Times New Roman" w:hAnsi="Times New Roman" w:cs="Times New Roman"/>
          <w:b/>
          <w:sz w:val="24"/>
        </w:rPr>
        <w:t xml:space="preserve">? </w:t>
      </w:r>
      <w:r w:rsidR="000E4D82" w:rsidRPr="000E4D82">
        <w:rPr>
          <w:rFonts w:ascii="Times New Roman" w:hAnsi="Times New Roman" w:cs="Times New Roman"/>
          <w:b/>
          <w:sz w:val="24"/>
        </w:rPr>
        <w:t>(honlap, közlemény, egyéb kiadvány, nemzetközi adatátadás</w:t>
      </w:r>
      <w:r w:rsidR="000E4D82">
        <w:rPr>
          <w:rFonts w:ascii="Times New Roman" w:hAnsi="Times New Roman" w:cs="Times New Roman"/>
          <w:b/>
          <w:sz w:val="24"/>
        </w:rPr>
        <w:t>)</w:t>
      </w:r>
      <w:r w:rsidRPr="00CE6C2F">
        <w:rPr>
          <w:rFonts w:ascii="Times New Roman" w:hAnsi="Times New Roman" w:cs="Times New Roman"/>
          <w:b/>
          <w:sz w:val="24"/>
        </w:rPr>
        <w:t>:</w:t>
      </w:r>
      <w:r w:rsidRPr="00CE6C2F">
        <w:rPr>
          <w:rFonts w:ascii="Times New Roman" w:hAnsi="Times New Roman" w:cs="Times New Roman"/>
          <w:sz w:val="24"/>
        </w:rPr>
        <w:t xml:space="preserve"> </w:t>
      </w:r>
      <w:r w:rsidR="00725134" w:rsidRPr="00CE6C2F">
        <w:rPr>
          <w:rFonts w:ascii="Times New Roman" w:hAnsi="Times New Roman" w:cs="Times New Roman"/>
          <w:sz w:val="24"/>
        </w:rPr>
        <w:t>az előállított adatok</w:t>
      </w:r>
      <w:r w:rsidR="00310B40">
        <w:rPr>
          <w:rFonts w:ascii="Times New Roman" w:hAnsi="Times New Roman" w:cs="Times New Roman"/>
          <w:sz w:val="24"/>
        </w:rPr>
        <w:t xml:space="preserve"> </w:t>
      </w:r>
      <w:r w:rsidR="005A47B6" w:rsidRPr="00CE6C2F">
        <w:rPr>
          <w:rFonts w:ascii="Times New Roman" w:hAnsi="Times New Roman" w:cs="Times New Roman"/>
          <w:sz w:val="24"/>
        </w:rPr>
        <w:t>Agrárminisztérium statisztikai aloldal</w:t>
      </w:r>
      <w:r w:rsidR="00310B40">
        <w:rPr>
          <w:rFonts w:ascii="Times New Roman" w:hAnsi="Times New Roman" w:cs="Times New Roman"/>
          <w:sz w:val="24"/>
        </w:rPr>
        <w:t>án jelennek meg</w:t>
      </w:r>
      <w:r w:rsidR="005A47B6" w:rsidRPr="00CE6C2F">
        <w:rPr>
          <w:rFonts w:ascii="Times New Roman" w:hAnsi="Times New Roman" w:cs="Times New Roman"/>
          <w:sz w:val="24"/>
        </w:rPr>
        <w:t>:</w:t>
      </w:r>
    </w:p>
    <w:p w:rsidR="00CF7990" w:rsidRPr="00CF7990" w:rsidRDefault="002B00A8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="00CF7990" w:rsidRPr="00CF7990">
          <w:rPr>
            <w:rFonts w:ascii="Times New Roman" w:hAnsi="Times New Roman" w:cs="Times New Roman"/>
            <w:color w:val="0000FF"/>
            <w:u w:val="single"/>
          </w:rPr>
          <w:t>https://agrarstatisztika.kormany.hu/agrargazdasag-hitelei2</w:t>
        </w:r>
      </w:hyperlink>
    </w:p>
    <w:p w:rsidR="00CF7990" w:rsidRDefault="00CF7990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015F7" w:rsidRDefault="003843A5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Emellett az adatok megtalálhatóak a KSH honlapján is. </w:t>
      </w:r>
    </w:p>
    <w:p w:rsidR="00F33F5B" w:rsidRPr="003843A5" w:rsidRDefault="003843A5" w:rsidP="00FD6003">
      <w:pPr>
        <w:spacing w:after="12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>A</w:t>
      </w:r>
      <w:r w:rsidR="000E4D82">
        <w:rPr>
          <w:rFonts w:ascii="Times New Roman" w:hAnsi="Times New Roman" w:cs="Times New Roman"/>
          <w:sz w:val="24"/>
        </w:rPr>
        <w:t xml:space="preserve"> </w:t>
      </w:r>
      <w:r w:rsidR="005A47B6" w:rsidRPr="00CE6C2F">
        <w:rPr>
          <w:rFonts w:ascii="Times New Roman" w:hAnsi="Times New Roman" w:cs="Times New Roman"/>
          <w:sz w:val="24"/>
        </w:rPr>
        <w:t>KSH STADAT táblá</w:t>
      </w:r>
      <w:r w:rsidR="000E4D82">
        <w:rPr>
          <w:rFonts w:ascii="Times New Roman" w:hAnsi="Times New Roman" w:cs="Times New Roman"/>
          <w:sz w:val="24"/>
        </w:rPr>
        <w:t>i</w:t>
      </w:r>
      <w:r w:rsidR="005A47B6" w:rsidRPr="00CE6C2F">
        <w:rPr>
          <w:rFonts w:ascii="Times New Roman" w:hAnsi="Times New Roman" w:cs="Times New Roman"/>
          <w:sz w:val="24"/>
        </w:rPr>
        <w:t>:</w:t>
      </w:r>
      <w:r w:rsidR="005A47B6" w:rsidRPr="00CE6C2F">
        <w:rPr>
          <w:rStyle w:val="Hiperhivatkozs"/>
          <w:rFonts w:ascii="Times New Roman" w:hAnsi="Times New Roman" w:cs="Times New Roman"/>
          <w:sz w:val="28"/>
        </w:rPr>
        <w:t xml:space="preserve"> </w:t>
      </w:r>
    </w:p>
    <w:p w:rsidR="005A47B6" w:rsidRDefault="002B00A8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212CE5" w:rsidRPr="0035605F">
          <w:rPr>
            <w:rStyle w:val="Hiperhivatkozs"/>
            <w:rFonts w:ascii="Times New Roman" w:hAnsi="Times New Roman" w:cs="Times New Roman"/>
            <w:sz w:val="24"/>
          </w:rPr>
          <w:t>http://www.ksh.hu/docs/hun/xstadat/xstadat_evkozi/e_omc001b.html</w:t>
        </w:r>
      </w:hyperlink>
    </w:p>
    <w:p w:rsidR="009B6198" w:rsidRPr="00CE6C2F" w:rsidRDefault="003843A5" w:rsidP="00FD6003">
      <w:pPr>
        <w:spacing w:after="120" w:line="240" w:lineRule="auto"/>
        <w:rPr>
          <w:rStyle w:val="Hiperhivatkozs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0E4D82">
        <w:rPr>
          <w:rFonts w:ascii="Times New Roman" w:hAnsi="Times New Roman" w:cs="Times New Roman"/>
          <w:sz w:val="24"/>
        </w:rPr>
        <w:t xml:space="preserve"> </w:t>
      </w:r>
      <w:r w:rsidR="005A47B6" w:rsidRPr="00CE6C2F">
        <w:rPr>
          <w:rFonts w:ascii="Times New Roman" w:hAnsi="Times New Roman" w:cs="Times New Roman"/>
          <w:sz w:val="24"/>
        </w:rPr>
        <w:t>KSH Tájékoztatási Adatbázis</w:t>
      </w:r>
      <w:r w:rsidR="000E4D82">
        <w:rPr>
          <w:rFonts w:ascii="Times New Roman" w:hAnsi="Times New Roman" w:cs="Times New Roman"/>
          <w:sz w:val="24"/>
        </w:rPr>
        <w:t>a</w:t>
      </w:r>
      <w:r w:rsidR="005A47B6" w:rsidRPr="00CE6C2F">
        <w:rPr>
          <w:rFonts w:ascii="Times New Roman" w:hAnsi="Times New Roman" w:cs="Times New Roman"/>
          <w:sz w:val="24"/>
        </w:rPr>
        <w:t xml:space="preserve">: </w:t>
      </w:r>
      <w:hyperlink r:id="rId10" w:history="1">
        <w:r w:rsidR="009B6198" w:rsidRPr="00CE6C2F">
          <w:rPr>
            <w:rStyle w:val="Hiperhivatkozs"/>
            <w:rFonts w:ascii="Times New Roman" w:hAnsi="Times New Roman" w:cs="Times New Roman"/>
            <w:sz w:val="24"/>
          </w:rPr>
          <w:t>http://statinfo.ksh.hu/Statinfo/themeSelector.jsp?page=2&amp;szst=OMR</w:t>
        </w:r>
      </w:hyperlink>
    </w:p>
    <w:p w:rsidR="005A47B6" w:rsidRPr="00212CE5" w:rsidRDefault="000E4D82" w:rsidP="00FD6003">
      <w:pPr>
        <w:spacing w:after="120" w:line="240" w:lineRule="auto"/>
        <w:jc w:val="both"/>
        <w:rPr>
          <w:rStyle w:val="Hiperhivatkozs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5A47B6" w:rsidRPr="00CE6C2F">
        <w:rPr>
          <w:rFonts w:ascii="Times New Roman" w:hAnsi="Times New Roman" w:cs="Times New Roman"/>
          <w:sz w:val="24"/>
          <w:szCs w:val="24"/>
        </w:rPr>
        <w:t>Agrárgazdasági Kutató Intézet által kiadott Pénzügyi Hírlevél:</w:t>
      </w:r>
      <w:r w:rsidR="005A47B6" w:rsidRPr="00CE6C2F">
        <w:rPr>
          <w:rStyle w:val="Hiperhivatkozs"/>
          <w:rFonts w:ascii="Times New Roman" w:hAnsi="Times New Roman" w:cs="Times New Roman"/>
          <w:sz w:val="24"/>
        </w:rPr>
        <w:t xml:space="preserve"> </w:t>
      </w:r>
      <w:hyperlink r:id="rId11" w:history="1">
        <w:r w:rsidR="00212CE5" w:rsidRPr="00212CE5">
          <w:rPr>
            <w:rStyle w:val="Hiperhivatkozs"/>
            <w:rFonts w:ascii="Times New Roman" w:hAnsi="Times New Roman" w:cs="Times New Roman"/>
            <w:sz w:val="24"/>
          </w:rPr>
          <w:t>http://repo.aki.gov.hu/id/eprint/3256</w:t>
        </w:r>
      </w:hyperlink>
    </w:p>
    <w:p w:rsidR="00263EC4" w:rsidRPr="00CE6C2F" w:rsidRDefault="00263EC4" w:rsidP="00FD600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Indikátorok:</w:t>
      </w:r>
    </w:p>
    <w:p w:rsidR="00263EC4" w:rsidRPr="00CE6C2F" w:rsidRDefault="00263EC4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sz w:val="24"/>
        </w:rPr>
        <w:t>Védett adatok száma és aránya:</w:t>
      </w:r>
      <w:r w:rsidR="00213717" w:rsidRPr="00CE6C2F">
        <w:rPr>
          <w:rFonts w:ascii="Times New Roman" w:hAnsi="Times New Roman" w:cs="Times New Roman"/>
          <w:sz w:val="24"/>
        </w:rPr>
        <w:t xml:space="preserve"> 0</w:t>
      </w:r>
    </w:p>
    <w:p w:rsidR="00C16707" w:rsidRPr="00CE6C2F" w:rsidRDefault="00C16707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Érthetőség:</w:t>
      </w:r>
      <w:r w:rsidRPr="00CE6C2F">
        <w:rPr>
          <w:rFonts w:ascii="Times New Roman" w:hAnsi="Times New Roman" w:cs="Times New Roman"/>
          <w:sz w:val="24"/>
        </w:rPr>
        <w:t xml:space="preserve"> </w:t>
      </w:r>
      <w:r w:rsidR="00187BF3" w:rsidRPr="00CE6C2F">
        <w:rPr>
          <w:rFonts w:ascii="Times New Roman" w:hAnsi="Times New Roman" w:cs="Times New Roman"/>
          <w:sz w:val="24"/>
        </w:rPr>
        <w:t xml:space="preserve">A metaadatok a statisztikai adatok előállításához használt adatgyűjtés főbb jellemzőit (adatszolgáltatók, jogi alap, gyakoriság, fontosabb fogalmak) tartalmazzák. Az utolsó frissítés időpontja: </w:t>
      </w:r>
      <w:r w:rsidR="00DF613D" w:rsidRPr="00CE6C2F">
        <w:rPr>
          <w:rFonts w:ascii="Times New Roman" w:hAnsi="Times New Roman" w:cs="Times New Roman"/>
          <w:sz w:val="24"/>
        </w:rPr>
        <w:t>2018.</w:t>
      </w:r>
      <w:r w:rsidR="008630E8">
        <w:rPr>
          <w:rFonts w:ascii="Times New Roman" w:hAnsi="Times New Roman" w:cs="Times New Roman"/>
          <w:sz w:val="24"/>
        </w:rPr>
        <w:t>07.30.</w:t>
      </w:r>
    </w:p>
    <w:p w:rsidR="00C16707" w:rsidRPr="00CE6C2F" w:rsidRDefault="00C16707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Összehasonlíthatóság és koherencia:</w:t>
      </w:r>
    </w:p>
    <w:p w:rsidR="00725134" w:rsidRPr="00CE6C2F" w:rsidRDefault="00725134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310B40">
        <w:rPr>
          <w:rFonts w:ascii="Times New Roman" w:hAnsi="Times New Roman" w:cs="Times New Roman"/>
          <w:b/>
          <w:sz w:val="24"/>
        </w:rPr>
        <w:t>Mely évtől érhető el összehasonlítható idősor</w:t>
      </w:r>
      <w:r w:rsidR="00310B40" w:rsidRPr="00310B40">
        <w:rPr>
          <w:rFonts w:ascii="Times New Roman" w:hAnsi="Times New Roman" w:cs="Times New Roman"/>
          <w:b/>
          <w:sz w:val="24"/>
        </w:rPr>
        <w:t>:</w:t>
      </w:r>
      <w:r w:rsidR="00D843C1" w:rsidRPr="00CE6C2F">
        <w:rPr>
          <w:rFonts w:ascii="Times New Roman" w:hAnsi="Times New Roman" w:cs="Times New Roman"/>
          <w:sz w:val="24"/>
        </w:rPr>
        <w:t xml:space="preserve"> </w:t>
      </w:r>
      <w:r w:rsidR="00187BF3" w:rsidRPr="00310B40">
        <w:rPr>
          <w:rFonts w:ascii="Times New Roman" w:hAnsi="Times New Roman" w:cs="Times New Roman"/>
          <w:sz w:val="24"/>
        </w:rPr>
        <w:t xml:space="preserve">Az egyéni gazdaságok esetében 2015-től, a gazdasági szervezetek esetében </w:t>
      </w:r>
      <w:r w:rsidR="00D843C1" w:rsidRPr="00310B40">
        <w:rPr>
          <w:rFonts w:ascii="Times New Roman" w:hAnsi="Times New Roman" w:cs="Times New Roman"/>
          <w:sz w:val="24"/>
        </w:rPr>
        <w:t>2016-tól</w:t>
      </w:r>
      <w:r w:rsidR="00187BF3" w:rsidRPr="00310B40">
        <w:rPr>
          <w:rFonts w:ascii="Times New Roman" w:hAnsi="Times New Roman" w:cs="Times New Roman"/>
          <w:sz w:val="24"/>
        </w:rPr>
        <w:t xml:space="preserve"> érhető el összehasonlítható idősor.</w:t>
      </w:r>
      <w:r w:rsidR="00187BF3" w:rsidRPr="00CE6C2F">
        <w:rPr>
          <w:rFonts w:ascii="Times New Roman" w:hAnsi="Times New Roman" w:cs="Times New Roman"/>
          <w:sz w:val="24"/>
        </w:rPr>
        <w:t xml:space="preserve"> </w:t>
      </w:r>
    </w:p>
    <w:p w:rsidR="006B230A" w:rsidRPr="00310B40" w:rsidRDefault="00725134" w:rsidP="00FD600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10B40">
        <w:rPr>
          <w:rFonts w:ascii="Times New Roman" w:hAnsi="Times New Roman" w:cs="Times New Roman"/>
          <w:b/>
          <w:sz w:val="24"/>
        </w:rPr>
        <w:t>Az előállított statisztikai adatok és velük kapcsolatban álló más adatok összehasonlítása:</w:t>
      </w:r>
      <w:r w:rsidR="00D843C1" w:rsidRPr="00310B40">
        <w:rPr>
          <w:rFonts w:ascii="Times New Roman" w:hAnsi="Times New Roman" w:cs="Times New Roman"/>
          <w:b/>
          <w:sz w:val="24"/>
        </w:rPr>
        <w:t xml:space="preserve"> </w:t>
      </w:r>
    </w:p>
    <w:p w:rsidR="00725134" w:rsidRDefault="00D843C1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sz w:val="24"/>
        </w:rPr>
        <w:t>MNB által közzétett adatok</w:t>
      </w:r>
      <w:r w:rsidR="006B230A" w:rsidRPr="00CE6C2F">
        <w:rPr>
          <w:rFonts w:ascii="Times New Roman" w:hAnsi="Times New Roman" w:cs="Times New Roman"/>
          <w:sz w:val="24"/>
        </w:rPr>
        <w:t xml:space="preserve">: </w:t>
      </w:r>
      <w:hyperlink r:id="rId12" w:history="1">
        <w:r w:rsidR="006B230A" w:rsidRPr="00CE6C2F">
          <w:rPr>
            <w:rStyle w:val="Hiperhivatkozs"/>
            <w:rFonts w:ascii="Times New Roman" w:hAnsi="Times New Roman" w:cs="Times New Roman"/>
            <w:sz w:val="24"/>
          </w:rPr>
          <w:t>http://www.mnb.hu/statisztika/statisztikai-adatok-informaciok/adatok-idosorok/x-monetaris-es-egyeb-merlegstatisztikak</w:t>
        </w:r>
      </w:hyperlink>
      <w:r w:rsidR="006B230A" w:rsidRPr="00CE6C2F">
        <w:rPr>
          <w:rFonts w:ascii="Times New Roman" w:hAnsi="Times New Roman" w:cs="Times New Roman"/>
          <w:sz w:val="24"/>
        </w:rPr>
        <w:t xml:space="preserve"> - A nem pénzügyi vállalatok hitelállományai nemzetgazdasági ágazatok szerint</w:t>
      </w:r>
      <w:r w:rsidR="00FD6003">
        <w:rPr>
          <w:rFonts w:ascii="Times New Roman" w:hAnsi="Times New Roman" w:cs="Times New Roman"/>
          <w:sz w:val="24"/>
        </w:rPr>
        <w:t>.</w:t>
      </w:r>
    </w:p>
    <w:p w:rsidR="00D85147" w:rsidRDefault="00D85147" w:rsidP="00D8514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MNB által közzétett adatokat összehasonlítva az AM adataival a következők láthatók:</w:t>
      </w:r>
    </w:p>
    <w:p w:rsidR="00D85147" w:rsidRDefault="00D85147" w:rsidP="00D8514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100A1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. </w:t>
      </w:r>
      <w:r w:rsidR="00100A12">
        <w:rPr>
          <w:rFonts w:ascii="Times New Roman" w:hAnsi="Times New Roman" w:cs="Times New Roman"/>
          <w:sz w:val="24"/>
        </w:rPr>
        <w:t>első</w:t>
      </w:r>
      <w:r>
        <w:rPr>
          <w:rFonts w:ascii="Times New Roman" w:hAnsi="Times New Roman" w:cs="Times New Roman"/>
          <w:sz w:val="24"/>
        </w:rPr>
        <w:t xml:space="preserve"> negyedév végén az MNB adatai alapján a mezőgazdaság, vadgazdálkodás, erdőgazdálkodás, halgazdálkodás gazdálkodó szervezeteinek teljes hitelállománya </w:t>
      </w:r>
      <w:r w:rsidR="00100A12">
        <w:rPr>
          <w:rFonts w:ascii="Times New Roman" w:hAnsi="Times New Roman" w:cs="Times New Roman"/>
          <w:sz w:val="24"/>
        </w:rPr>
        <w:t>402</w:t>
      </w:r>
      <w:r w:rsidR="001279D6">
        <w:rPr>
          <w:rFonts w:ascii="Times New Roman" w:hAnsi="Times New Roman" w:cs="Times New Roman"/>
          <w:sz w:val="24"/>
        </w:rPr>
        <w:t>,7</w:t>
      </w:r>
      <w:r>
        <w:rPr>
          <w:rFonts w:ascii="Times New Roman" w:hAnsi="Times New Roman" w:cs="Times New Roman"/>
          <w:sz w:val="24"/>
        </w:rPr>
        <w:t xml:space="preserve"> milliárd forint volt, míg az</w:t>
      </w:r>
      <w:r w:rsidRPr="001429FE">
        <w:rPr>
          <w:rFonts w:ascii="Times New Roman" w:hAnsi="Times New Roman" w:cs="Times New Roman"/>
          <w:sz w:val="24"/>
        </w:rPr>
        <w:t xml:space="preserve"> AM adatai alapján </w:t>
      </w:r>
      <w:r>
        <w:rPr>
          <w:rFonts w:ascii="Times New Roman" w:hAnsi="Times New Roman" w:cs="Times New Roman"/>
          <w:sz w:val="24"/>
        </w:rPr>
        <w:t xml:space="preserve">a </w:t>
      </w:r>
      <w:r w:rsidRPr="001429FE">
        <w:rPr>
          <w:rFonts w:ascii="Times New Roman" w:hAnsi="Times New Roman" w:cs="Times New Roman"/>
          <w:sz w:val="24"/>
        </w:rPr>
        <w:t>mezőgazdaság gazd</w:t>
      </w:r>
      <w:r>
        <w:rPr>
          <w:rFonts w:ascii="Times New Roman" w:hAnsi="Times New Roman" w:cs="Times New Roman"/>
          <w:sz w:val="24"/>
        </w:rPr>
        <w:t>asági</w:t>
      </w:r>
      <w:r w:rsidRPr="001429FE">
        <w:rPr>
          <w:rFonts w:ascii="Times New Roman" w:hAnsi="Times New Roman" w:cs="Times New Roman"/>
          <w:sz w:val="24"/>
        </w:rPr>
        <w:t xml:space="preserve"> szervezeteinek fennálló hitelállománya </w:t>
      </w:r>
      <w:r>
        <w:rPr>
          <w:rFonts w:ascii="Times New Roman" w:hAnsi="Times New Roman" w:cs="Times New Roman"/>
          <w:sz w:val="24"/>
        </w:rPr>
        <w:t>3</w:t>
      </w:r>
      <w:r w:rsidR="00100A12">
        <w:rPr>
          <w:rFonts w:ascii="Times New Roman" w:hAnsi="Times New Roman" w:cs="Times New Roman"/>
          <w:sz w:val="24"/>
        </w:rPr>
        <w:t>92,3</w:t>
      </w:r>
      <w:r w:rsidRPr="001429FE">
        <w:rPr>
          <w:rFonts w:ascii="Times New Roman" w:hAnsi="Times New Roman" w:cs="Times New Roman"/>
          <w:sz w:val="24"/>
        </w:rPr>
        <w:t xml:space="preserve"> milliárd Ft volt</w:t>
      </w:r>
      <w:r>
        <w:rPr>
          <w:rFonts w:ascii="Times New Roman" w:hAnsi="Times New Roman" w:cs="Times New Roman"/>
          <w:sz w:val="24"/>
        </w:rPr>
        <w:t xml:space="preserve">. Az AM adatközlése </w:t>
      </w:r>
      <w:r w:rsidR="00100A12">
        <w:rPr>
          <w:rFonts w:ascii="Times New Roman" w:hAnsi="Times New Roman" w:cs="Times New Roman"/>
          <w:sz w:val="24"/>
        </w:rPr>
        <w:t>2</w:t>
      </w:r>
      <w:r w:rsidR="001279D6">
        <w:rPr>
          <w:rFonts w:ascii="Times New Roman" w:hAnsi="Times New Roman" w:cs="Times New Roman"/>
          <w:sz w:val="24"/>
        </w:rPr>
        <w:t>,</w:t>
      </w:r>
      <w:r w:rsidR="00100A12">
        <w:rPr>
          <w:rFonts w:ascii="Times New Roman" w:hAnsi="Times New Roman" w:cs="Times New Roman"/>
          <w:sz w:val="24"/>
        </w:rPr>
        <w:t>58</w:t>
      </w:r>
      <w:r>
        <w:rPr>
          <w:rFonts w:ascii="Times New Roman" w:hAnsi="Times New Roman" w:cs="Times New Roman"/>
          <w:sz w:val="24"/>
        </w:rPr>
        <w:t xml:space="preserve">%-kal marad el az MNB-jétől, </w:t>
      </w:r>
      <w:r w:rsidR="001279D6">
        <w:rPr>
          <w:rFonts w:ascii="Times New Roman" w:hAnsi="Times New Roman" w:cs="Times New Roman"/>
          <w:sz w:val="24"/>
        </w:rPr>
        <w:t>vagyis negyedéves</w:t>
      </w:r>
      <w:r w:rsidR="00100A12">
        <w:rPr>
          <w:rFonts w:ascii="Times New Roman" w:hAnsi="Times New Roman" w:cs="Times New Roman"/>
          <w:sz w:val="24"/>
        </w:rPr>
        <w:t xml:space="preserve"> szinten </w:t>
      </w:r>
      <w:r w:rsidR="00100A12">
        <w:rPr>
          <w:rFonts w:ascii="Times New Roman" w:hAnsi="Times New Roman" w:cs="Times New Roman"/>
          <w:sz w:val="24"/>
        </w:rPr>
        <w:t xml:space="preserve">nőtt </w:t>
      </w:r>
      <w:r w:rsidR="00100A12">
        <w:rPr>
          <w:rFonts w:ascii="Times New Roman" w:hAnsi="Times New Roman" w:cs="Times New Roman"/>
          <w:sz w:val="24"/>
        </w:rPr>
        <w:t>a különbség</w:t>
      </w:r>
      <w:r w:rsidR="001279D6">
        <w:rPr>
          <w:rFonts w:ascii="Times New Roman" w:hAnsi="Times New Roman" w:cs="Times New Roman"/>
          <w:sz w:val="24"/>
        </w:rPr>
        <w:t xml:space="preserve"> az adat</w:t>
      </w:r>
      <w:r w:rsidR="00AA4320">
        <w:rPr>
          <w:rFonts w:ascii="Times New Roman" w:hAnsi="Times New Roman" w:cs="Times New Roman"/>
          <w:sz w:val="24"/>
        </w:rPr>
        <w:t>o</w:t>
      </w:r>
      <w:r w:rsidR="001279D6">
        <w:rPr>
          <w:rFonts w:ascii="Times New Roman" w:hAnsi="Times New Roman" w:cs="Times New Roman"/>
          <w:sz w:val="24"/>
        </w:rPr>
        <w:t>k között</w:t>
      </w:r>
      <w:r>
        <w:rPr>
          <w:rFonts w:ascii="Times New Roman" w:hAnsi="Times New Roman" w:cs="Times New Roman"/>
          <w:sz w:val="24"/>
        </w:rPr>
        <w:t xml:space="preserve">. </w:t>
      </w:r>
    </w:p>
    <w:p w:rsidR="00D85147" w:rsidRDefault="00D85147" w:rsidP="00D8514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429FE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9</w:t>
      </w:r>
      <w:r w:rsidRPr="001429FE">
        <w:rPr>
          <w:rFonts w:ascii="Times New Roman" w:hAnsi="Times New Roman" w:cs="Times New Roman"/>
          <w:sz w:val="24"/>
        </w:rPr>
        <w:t xml:space="preserve">. </w:t>
      </w:r>
      <w:r w:rsidR="007A669D">
        <w:rPr>
          <w:rFonts w:ascii="Times New Roman" w:hAnsi="Times New Roman" w:cs="Times New Roman"/>
          <w:sz w:val="24"/>
        </w:rPr>
        <w:t>negyedik</w:t>
      </w:r>
      <w:r w:rsidRPr="001429FE">
        <w:rPr>
          <w:rFonts w:ascii="Times New Roman" w:hAnsi="Times New Roman" w:cs="Times New Roman"/>
          <w:sz w:val="24"/>
        </w:rPr>
        <w:t xml:space="preserve"> negyedév végén a</w:t>
      </w:r>
      <w:r>
        <w:rPr>
          <w:rFonts w:ascii="Times New Roman" w:hAnsi="Times New Roman" w:cs="Times New Roman"/>
          <w:sz w:val="24"/>
        </w:rPr>
        <w:t>z MNB adatai alapján az élelmiszeripar, ital, dohánytermék gyártása gazdálkodó szervezeteinek teljes hitelállománya 5</w:t>
      </w:r>
      <w:r w:rsidR="00D1759C">
        <w:rPr>
          <w:rFonts w:ascii="Times New Roman" w:hAnsi="Times New Roman" w:cs="Times New Roman"/>
          <w:sz w:val="24"/>
        </w:rPr>
        <w:t>46,3</w:t>
      </w:r>
      <w:r>
        <w:rPr>
          <w:rFonts w:ascii="Times New Roman" w:hAnsi="Times New Roman" w:cs="Times New Roman"/>
          <w:sz w:val="24"/>
        </w:rPr>
        <w:t xml:space="preserve"> milliárd forint volt, míg az AM adatai alapján az élelmiszerip</w:t>
      </w:r>
      <w:r w:rsidRPr="001429FE">
        <w:rPr>
          <w:rFonts w:ascii="Times New Roman" w:hAnsi="Times New Roman" w:cs="Times New Roman"/>
          <w:sz w:val="24"/>
        </w:rPr>
        <w:t xml:space="preserve">ar gazdálkodó szervezeteinek fennálló hitelállománya </w:t>
      </w:r>
      <w:r>
        <w:rPr>
          <w:rFonts w:ascii="Times New Roman" w:hAnsi="Times New Roman" w:cs="Times New Roman"/>
          <w:sz w:val="24"/>
        </w:rPr>
        <w:t>5</w:t>
      </w:r>
      <w:r w:rsidR="00D1759C">
        <w:rPr>
          <w:rFonts w:ascii="Times New Roman" w:hAnsi="Times New Roman" w:cs="Times New Roman"/>
          <w:sz w:val="24"/>
        </w:rPr>
        <w:t>53,6</w:t>
      </w:r>
      <w:r w:rsidRPr="001429FE">
        <w:rPr>
          <w:rFonts w:ascii="Times New Roman" w:hAnsi="Times New Roman" w:cs="Times New Roman"/>
          <w:sz w:val="24"/>
        </w:rPr>
        <w:t xml:space="preserve"> milliárd </w:t>
      </w:r>
      <w:r>
        <w:rPr>
          <w:rFonts w:ascii="Times New Roman" w:hAnsi="Times New Roman" w:cs="Times New Roman"/>
          <w:sz w:val="24"/>
        </w:rPr>
        <w:t xml:space="preserve">forintot tett ki, azaz </w:t>
      </w:r>
      <w:r w:rsidR="00D1759C">
        <w:rPr>
          <w:rFonts w:ascii="Times New Roman" w:hAnsi="Times New Roman" w:cs="Times New Roman"/>
          <w:sz w:val="24"/>
        </w:rPr>
        <w:t>7,3</w:t>
      </w:r>
      <w:r>
        <w:rPr>
          <w:rFonts w:ascii="Times New Roman" w:hAnsi="Times New Roman" w:cs="Times New Roman"/>
          <w:sz w:val="24"/>
        </w:rPr>
        <w:t xml:space="preserve"> milliárd forinttal, vagyis </w:t>
      </w:r>
      <w:r w:rsidR="00D1759C">
        <w:rPr>
          <w:rFonts w:ascii="Times New Roman" w:hAnsi="Times New Roman" w:cs="Times New Roman"/>
          <w:sz w:val="24"/>
        </w:rPr>
        <w:t>1,33</w:t>
      </w:r>
      <w:r>
        <w:rPr>
          <w:rFonts w:ascii="Times New Roman" w:hAnsi="Times New Roman" w:cs="Times New Roman"/>
          <w:sz w:val="24"/>
        </w:rPr>
        <w:t>%-kal haladta</w:t>
      </w:r>
      <w:r w:rsidR="004E3221">
        <w:rPr>
          <w:rFonts w:ascii="Times New Roman" w:hAnsi="Times New Roman" w:cs="Times New Roman"/>
          <w:sz w:val="24"/>
        </w:rPr>
        <w:t xml:space="preserve"> meg</w:t>
      </w:r>
      <w:r>
        <w:rPr>
          <w:rFonts w:ascii="Times New Roman" w:hAnsi="Times New Roman" w:cs="Times New Roman"/>
          <w:sz w:val="24"/>
        </w:rPr>
        <w:t xml:space="preserve"> az MNB értékeit.</w:t>
      </w:r>
      <w:r w:rsidRPr="001429FE">
        <w:rPr>
          <w:rFonts w:ascii="Times New Roman" w:hAnsi="Times New Roman" w:cs="Times New Roman"/>
          <w:sz w:val="24"/>
        </w:rPr>
        <w:t xml:space="preserve"> </w:t>
      </w:r>
    </w:p>
    <w:p w:rsidR="00D85147" w:rsidRDefault="00D85147" w:rsidP="00D851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eltérés oka módszertani különbségekre vezethető vissza. Egyik ilyen különbség, hogy az AM statisztikája könyv szerinti értéken alapul, míg az MNB bruttó fennálló tőkeösszeghez tartozó záró állományokat használ. </w:t>
      </w:r>
    </w:p>
    <w:p w:rsidR="006A7457" w:rsidRDefault="00D85147" w:rsidP="00D851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Mindkét adatgyűjtésben azonos tendencia érvényesül. A mezőgazdaság gazdasági szervezeteinek teljes hitelállománya 2016 első negyedévétől vizsgálva a 2016 harmadik negyedévében elért csúcsot követően visszaesett, azóta hullámzóan </w:t>
      </w:r>
      <w:r w:rsidR="006A7457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DB5E59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6A745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7457">
        <w:rPr>
          <w:rFonts w:ascii="Times New Roman" w:eastAsia="Times New Roman" w:hAnsi="Times New Roman" w:cs="Times New Roman"/>
          <w:sz w:val="24"/>
          <w:szCs w:val="24"/>
          <w:lang w:eastAsia="hu-HU"/>
        </w:rPr>
        <w:t>2018 IV. negyedévétől folyamatosan növekedett, 2019 IV. negyedévében esett csak vissza minimálisan.</w:t>
      </w:r>
    </w:p>
    <w:p w:rsidR="00206390" w:rsidRDefault="00206390" w:rsidP="00D851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390" w:rsidRDefault="00206390" w:rsidP="00D851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390" w:rsidRDefault="00206390" w:rsidP="00D851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390" w:rsidRDefault="00206390" w:rsidP="00D851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457" w:rsidRDefault="006A7457" w:rsidP="006A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hu-HU"/>
        </w:rPr>
        <w:lastRenderedPageBreak/>
        <w:t>A mezőgazdaság</w:t>
      </w:r>
      <w:r w:rsidRPr="00287C6B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hu-HU"/>
        </w:rPr>
        <w:t xml:space="preserve"> gazdasági szervezeteinek teljes hitelállománya az AM adatgyűjtése alapján</w:t>
      </w:r>
    </w:p>
    <w:p w:rsidR="006A7457" w:rsidRDefault="006A7457" w:rsidP="006A745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hu-HU"/>
        </w:rPr>
        <w:t>(milliárd forint)</w:t>
      </w:r>
    </w:p>
    <w:p w:rsidR="006A7457" w:rsidRDefault="00100A12" w:rsidP="006A745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81DBE0F" wp14:editId="3AB25D84">
            <wp:extent cx="6243320" cy="2519680"/>
            <wp:effectExtent l="0" t="0" r="508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5147" w:rsidRDefault="006A7457" w:rsidP="00D851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85147">
        <w:rPr>
          <w:rFonts w:ascii="Times New Roman" w:eastAsia="Times New Roman" w:hAnsi="Times New Roman" w:cs="Times New Roman"/>
          <w:sz w:val="24"/>
          <w:szCs w:val="24"/>
          <w:lang w:eastAsia="hu-HU"/>
        </w:rPr>
        <w:t>z élelmiszeripar gazdasági szervezeteinek teljes hitelállománya 2016 első negyedévétől vizsgálva a 2017. második negyedévben elért mélypontot követően lassan, de kitartóan növekedni kezdett, amely növekedés 2019 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II-IV</w:t>
      </w:r>
      <w:r w:rsidR="00D85147">
        <w:rPr>
          <w:rFonts w:ascii="Times New Roman" w:eastAsia="Times New Roman" w:hAnsi="Times New Roman" w:cs="Times New Roman"/>
          <w:sz w:val="24"/>
          <w:szCs w:val="24"/>
          <w:lang w:eastAsia="hu-HU"/>
        </w:rPr>
        <w:t>. negyedévében</w:t>
      </w:r>
      <w:r w:rsidR="00206390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2020 I. negyedévében is</w:t>
      </w:r>
      <w:r w:rsidR="00D85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 erősödött.</w:t>
      </w:r>
    </w:p>
    <w:p w:rsidR="00D85147" w:rsidRDefault="00D85147" w:rsidP="00D851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1C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élelmiszeripar gazd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asági</w:t>
      </w:r>
      <w:r w:rsidRPr="009C2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szervezeteinek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</w:t>
      </w:r>
      <w:r w:rsidRPr="009C2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hitelállománya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MNB adatai szerint</w:t>
      </w:r>
      <w:r w:rsidRPr="009C2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9C2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előző negyedévhez képest </w:t>
      </w:r>
      <w:r w:rsidR="00737C8C">
        <w:rPr>
          <w:rFonts w:ascii="Times New Roman" w:eastAsia="Times New Roman" w:hAnsi="Times New Roman" w:cs="Times New Roman"/>
          <w:sz w:val="24"/>
          <w:szCs w:val="24"/>
          <w:lang w:eastAsia="hu-HU"/>
        </w:rPr>
        <w:t>1,98</w:t>
      </w:r>
      <w:r w:rsidRPr="009C21C8">
        <w:rPr>
          <w:rFonts w:ascii="Times New Roman" w:eastAsia="Times New Roman" w:hAnsi="Times New Roman" w:cs="Times New Roman"/>
          <w:sz w:val="24"/>
          <w:szCs w:val="24"/>
          <w:lang w:eastAsia="hu-HU"/>
        </w:rPr>
        <w:t>%-kal</w:t>
      </w:r>
      <w:r w:rsidR="006A7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7C8C">
        <w:rPr>
          <w:rFonts w:ascii="Times New Roman" w:eastAsia="Times New Roman" w:hAnsi="Times New Roman" w:cs="Times New Roman"/>
          <w:sz w:val="24"/>
          <w:szCs w:val="24"/>
          <w:lang w:eastAsia="hu-HU"/>
        </w:rPr>
        <w:t>növekedni kezdett</w:t>
      </w:r>
      <w:r w:rsidR="00670C1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C2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0C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670C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MNB adatai szerint az élelmiszeripar </w:t>
      </w:r>
      <w:r w:rsidRPr="009C21C8">
        <w:rPr>
          <w:rFonts w:ascii="Times New Roman" w:eastAsia="Times New Roman" w:hAnsi="Times New Roman" w:cs="Times New Roman"/>
          <w:sz w:val="24"/>
          <w:szCs w:val="24"/>
          <w:lang w:eastAsia="hu-HU"/>
        </w:rPr>
        <w:t>előz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9C2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azonos időszakához viszonyítva </w:t>
      </w:r>
      <w:r w:rsidR="00737C8C">
        <w:rPr>
          <w:rFonts w:ascii="Times New Roman" w:eastAsia="Times New Roman" w:hAnsi="Times New Roman" w:cs="Times New Roman"/>
          <w:sz w:val="24"/>
          <w:szCs w:val="24"/>
          <w:lang w:eastAsia="hu-HU"/>
        </w:rPr>
        <w:t>7,12</w:t>
      </w:r>
      <w:r w:rsidR="00670C1B">
        <w:rPr>
          <w:rFonts w:ascii="Times New Roman" w:eastAsia="Times New Roman" w:hAnsi="Times New Roman" w:cs="Times New Roman"/>
          <w:sz w:val="24"/>
          <w:szCs w:val="24"/>
          <w:lang w:eastAsia="hu-HU"/>
        </w:rPr>
        <w:t>%-kal bővült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míg az AM adatai alapján előző negyedévhez képest </w:t>
      </w:r>
      <w:r w:rsidR="00737C8C">
        <w:rPr>
          <w:rFonts w:ascii="Times New Roman" w:eastAsia="Times New Roman" w:hAnsi="Times New Roman" w:cs="Times New Roman"/>
          <w:sz w:val="24"/>
          <w:szCs w:val="24"/>
          <w:lang w:eastAsia="hu-HU"/>
        </w:rPr>
        <w:t>2,64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%-kal</w:t>
      </w:r>
      <w:r w:rsidR="00670C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7C8C">
        <w:rPr>
          <w:rFonts w:ascii="Times New Roman" w:eastAsia="Times New Roman" w:hAnsi="Times New Roman" w:cs="Times New Roman"/>
          <w:sz w:val="24"/>
          <w:szCs w:val="24"/>
          <w:lang w:eastAsia="hu-HU"/>
        </w:rPr>
        <w:t>bővült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előző év azonos időszakához viszonyítva pedig </w:t>
      </w:r>
      <w:r w:rsidR="00737C8C">
        <w:rPr>
          <w:rFonts w:ascii="Times New Roman" w:eastAsia="Times New Roman" w:hAnsi="Times New Roman" w:cs="Times New Roman"/>
          <w:sz w:val="24"/>
          <w:szCs w:val="24"/>
          <w:lang w:eastAsia="hu-HU"/>
        </w:rPr>
        <w:t>7,39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%-k</w:t>
      </w:r>
      <w:r w:rsidR="00737C8C">
        <w:rPr>
          <w:rFonts w:ascii="Times New Roman" w:eastAsia="Times New Roman" w:hAnsi="Times New Roman" w:cs="Times New Roman"/>
          <w:sz w:val="24"/>
          <w:szCs w:val="24"/>
          <w:lang w:eastAsia="hu-HU"/>
        </w:rPr>
        <w:t>os volt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7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növeked</w:t>
      </w:r>
      <w:r w:rsidR="00737C8C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85147" w:rsidRDefault="00D85147" w:rsidP="00D8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hu-HU"/>
        </w:rPr>
      </w:pPr>
      <w:r w:rsidRPr="00287C6B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hu-HU"/>
        </w:rPr>
        <w:t>A</w:t>
      </w: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hu-HU"/>
        </w:rPr>
        <w:t>z</w:t>
      </w:r>
      <w:r w:rsidRPr="00287C6B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hu-HU"/>
        </w:rPr>
        <w:t>élelmiszeripar</w:t>
      </w:r>
      <w:r w:rsidRPr="00287C6B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hu-HU"/>
        </w:rPr>
        <w:t xml:space="preserve"> gazdasági szervezeteinek teljes hitelállománya az AM adatgyűjtése alapján</w:t>
      </w:r>
    </w:p>
    <w:p w:rsidR="00D85147" w:rsidRPr="009D3128" w:rsidRDefault="00D85147" w:rsidP="00D8514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hu-HU"/>
        </w:rPr>
        <w:t>(milliárd forint)</w:t>
      </w:r>
    </w:p>
    <w:p w:rsidR="00D85147" w:rsidRDefault="00206390" w:rsidP="00D8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hu-HU"/>
        </w:rPr>
      </w:pPr>
      <w:r>
        <w:rPr>
          <w:noProof/>
        </w:rPr>
        <w:drawing>
          <wp:inline distT="0" distB="0" distL="0" distR="0" wp14:anchorId="6034842A" wp14:editId="15E486B8">
            <wp:extent cx="6096000" cy="3098800"/>
            <wp:effectExtent l="0" t="0" r="0" b="635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5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5147" w:rsidRDefault="00D85147" w:rsidP="00FD600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725134" w:rsidRPr="009C21C8" w:rsidRDefault="00725134" w:rsidP="00C16707">
      <w:pPr>
        <w:jc w:val="both"/>
        <w:rPr>
          <w:rFonts w:ascii="Times New Roman" w:hAnsi="Times New Roman" w:cs="Times New Roman"/>
          <w:sz w:val="24"/>
        </w:rPr>
      </w:pPr>
      <w:r w:rsidRPr="000E4D82">
        <w:rPr>
          <w:rFonts w:ascii="Times New Roman" w:hAnsi="Times New Roman" w:cs="Times New Roman"/>
          <w:b/>
          <w:sz w:val="24"/>
        </w:rPr>
        <w:t>Rendelkez</w:t>
      </w:r>
      <w:r w:rsidR="003F77E3" w:rsidRPr="000E4D82">
        <w:rPr>
          <w:rFonts w:ascii="Times New Roman" w:hAnsi="Times New Roman" w:cs="Times New Roman"/>
          <w:b/>
          <w:sz w:val="24"/>
        </w:rPr>
        <w:t>ésre áll-e területi bontás</w:t>
      </w:r>
      <w:r w:rsidR="000E4D82" w:rsidRPr="000E4D82">
        <w:rPr>
          <w:rFonts w:ascii="Times New Roman" w:hAnsi="Times New Roman" w:cs="Times New Roman"/>
          <w:b/>
          <w:sz w:val="24"/>
        </w:rPr>
        <w:t>:</w:t>
      </w:r>
      <w:r w:rsidR="00D843C1" w:rsidRPr="009C21C8">
        <w:rPr>
          <w:rFonts w:ascii="Times New Roman" w:hAnsi="Times New Roman" w:cs="Times New Roman"/>
          <w:sz w:val="24"/>
        </w:rPr>
        <w:t xml:space="preserve"> nem </w:t>
      </w:r>
    </w:p>
    <w:p w:rsidR="0048157D" w:rsidRPr="00C16707" w:rsidRDefault="00725134" w:rsidP="00C16707">
      <w:pPr>
        <w:jc w:val="both"/>
        <w:rPr>
          <w:rFonts w:ascii="Times New Roman" w:hAnsi="Times New Roman" w:cs="Times New Roman"/>
          <w:sz w:val="24"/>
        </w:rPr>
      </w:pPr>
      <w:r w:rsidRPr="00CE6C2F">
        <w:rPr>
          <w:rFonts w:ascii="Times New Roman" w:hAnsi="Times New Roman" w:cs="Times New Roman"/>
          <w:b/>
          <w:sz w:val="24"/>
        </w:rPr>
        <w:t>Nemzetközi összehasonlíthatóság:</w:t>
      </w:r>
      <w:r w:rsidR="00D843C1" w:rsidRPr="00CE6C2F">
        <w:rPr>
          <w:rFonts w:ascii="Times New Roman" w:hAnsi="Times New Roman" w:cs="Times New Roman"/>
          <w:sz w:val="24"/>
        </w:rPr>
        <w:t xml:space="preserve"> nincs</w:t>
      </w:r>
    </w:p>
    <w:sectPr w:rsidR="0048157D" w:rsidRPr="00C16707" w:rsidSect="00072BD7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00A8" w:rsidRDefault="002B00A8" w:rsidP="00072BD7">
      <w:pPr>
        <w:spacing w:after="0" w:line="240" w:lineRule="auto"/>
      </w:pPr>
      <w:r>
        <w:separator/>
      </w:r>
    </w:p>
  </w:endnote>
  <w:endnote w:type="continuationSeparator" w:id="0">
    <w:p w:rsidR="002B00A8" w:rsidRDefault="002B00A8" w:rsidP="0007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87150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72BD7" w:rsidRPr="00072BD7" w:rsidRDefault="00072BD7">
        <w:pPr>
          <w:pStyle w:val="llb"/>
          <w:jc w:val="center"/>
          <w:rPr>
            <w:rFonts w:ascii="Times New Roman" w:hAnsi="Times New Roman" w:cs="Times New Roman"/>
          </w:rPr>
        </w:pPr>
        <w:r w:rsidRPr="00072BD7">
          <w:rPr>
            <w:rFonts w:ascii="Times New Roman" w:hAnsi="Times New Roman" w:cs="Times New Roman"/>
          </w:rPr>
          <w:fldChar w:fldCharType="begin"/>
        </w:r>
        <w:r w:rsidRPr="00072BD7">
          <w:rPr>
            <w:rFonts w:ascii="Times New Roman" w:hAnsi="Times New Roman" w:cs="Times New Roman"/>
          </w:rPr>
          <w:instrText>PAGE   \* MERGEFORMAT</w:instrText>
        </w:r>
        <w:r w:rsidRPr="00072BD7">
          <w:rPr>
            <w:rFonts w:ascii="Times New Roman" w:hAnsi="Times New Roman" w:cs="Times New Roman"/>
          </w:rPr>
          <w:fldChar w:fldCharType="separate"/>
        </w:r>
        <w:r w:rsidR="00C0561B">
          <w:rPr>
            <w:rFonts w:ascii="Times New Roman" w:hAnsi="Times New Roman" w:cs="Times New Roman"/>
            <w:noProof/>
          </w:rPr>
          <w:t>2</w:t>
        </w:r>
        <w:r w:rsidRPr="00072BD7">
          <w:rPr>
            <w:rFonts w:ascii="Times New Roman" w:hAnsi="Times New Roman" w:cs="Times New Roman"/>
          </w:rPr>
          <w:fldChar w:fldCharType="end"/>
        </w:r>
      </w:p>
    </w:sdtContent>
  </w:sdt>
  <w:p w:rsidR="00072BD7" w:rsidRDefault="00072B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00A8" w:rsidRDefault="002B00A8" w:rsidP="00072BD7">
      <w:pPr>
        <w:spacing w:after="0" w:line="240" w:lineRule="auto"/>
      </w:pPr>
      <w:r>
        <w:separator/>
      </w:r>
    </w:p>
  </w:footnote>
  <w:footnote w:type="continuationSeparator" w:id="0">
    <w:p w:rsidR="002B00A8" w:rsidRDefault="002B00A8" w:rsidP="00072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B8A"/>
    <w:multiLevelType w:val="hybridMultilevel"/>
    <w:tmpl w:val="4A64560A"/>
    <w:lvl w:ilvl="0" w:tplc="7EC824D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D0E96"/>
    <w:multiLevelType w:val="hybridMultilevel"/>
    <w:tmpl w:val="601C766C"/>
    <w:lvl w:ilvl="0" w:tplc="7EC824D4">
      <w:start w:val="201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D8689E"/>
    <w:multiLevelType w:val="hybridMultilevel"/>
    <w:tmpl w:val="1BBA20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707"/>
    <w:rsid w:val="00020D82"/>
    <w:rsid w:val="00072BD7"/>
    <w:rsid w:val="00075EE4"/>
    <w:rsid w:val="000E4D82"/>
    <w:rsid w:val="00100A12"/>
    <w:rsid w:val="001047F6"/>
    <w:rsid w:val="001279D6"/>
    <w:rsid w:val="00133ABD"/>
    <w:rsid w:val="001429FE"/>
    <w:rsid w:val="00144CAA"/>
    <w:rsid w:val="0014729B"/>
    <w:rsid w:val="00184735"/>
    <w:rsid w:val="00187BF3"/>
    <w:rsid w:val="001A528C"/>
    <w:rsid w:val="001D6459"/>
    <w:rsid w:val="001F0932"/>
    <w:rsid w:val="002024B5"/>
    <w:rsid w:val="00206390"/>
    <w:rsid w:val="00212CE5"/>
    <w:rsid w:val="00213717"/>
    <w:rsid w:val="002152C2"/>
    <w:rsid w:val="00243842"/>
    <w:rsid w:val="00263EC4"/>
    <w:rsid w:val="00273B06"/>
    <w:rsid w:val="00287C6B"/>
    <w:rsid w:val="002B00A8"/>
    <w:rsid w:val="00310B40"/>
    <w:rsid w:val="0031788D"/>
    <w:rsid w:val="00333FB9"/>
    <w:rsid w:val="00370EE2"/>
    <w:rsid w:val="00372ECA"/>
    <w:rsid w:val="003843A5"/>
    <w:rsid w:val="00394973"/>
    <w:rsid w:val="003F77E3"/>
    <w:rsid w:val="00401E4E"/>
    <w:rsid w:val="00473067"/>
    <w:rsid w:val="004C7162"/>
    <w:rsid w:val="004D479C"/>
    <w:rsid w:val="004E3221"/>
    <w:rsid w:val="00503C1C"/>
    <w:rsid w:val="0053295C"/>
    <w:rsid w:val="005643C3"/>
    <w:rsid w:val="005723F5"/>
    <w:rsid w:val="00597BE7"/>
    <w:rsid w:val="005A47B6"/>
    <w:rsid w:val="005C0651"/>
    <w:rsid w:val="005F6EA0"/>
    <w:rsid w:val="006015F7"/>
    <w:rsid w:val="00634806"/>
    <w:rsid w:val="0064661E"/>
    <w:rsid w:val="006618C6"/>
    <w:rsid w:val="00670C1B"/>
    <w:rsid w:val="006961A6"/>
    <w:rsid w:val="006A7457"/>
    <w:rsid w:val="006A76B6"/>
    <w:rsid w:val="006B230A"/>
    <w:rsid w:val="006E257E"/>
    <w:rsid w:val="006E5332"/>
    <w:rsid w:val="006F6022"/>
    <w:rsid w:val="0070075D"/>
    <w:rsid w:val="00704334"/>
    <w:rsid w:val="007110DA"/>
    <w:rsid w:val="007144FC"/>
    <w:rsid w:val="00725134"/>
    <w:rsid w:val="007305C4"/>
    <w:rsid w:val="00737C8C"/>
    <w:rsid w:val="007411B4"/>
    <w:rsid w:val="00753733"/>
    <w:rsid w:val="00772D74"/>
    <w:rsid w:val="00783640"/>
    <w:rsid w:val="00792D2F"/>
    <w:rsid w:val="007A63D6"/>
    <w:rsid w:val="007A669D"/>
    <w:rsid w:val="007B7877"/>
    <w:rsid w:val="007D1910"/>
    <w:rsid w:val="007D3514"/>
    <w:rsid w:val="0083048A"/>
    <w:rsid w:val="00842593"/>
    <w:rsid w:val="00855F95"/>
    <w:rsid w:val="008630E8"/>
    <w:rsid w:val="008C5586"/>
    <w:rsid w:val="008C7A82"/>
    <w:rsid w:val="009156AC"/>
    <w:rsid w:val="009232F4"/>
    <w:rsid w:val="009431F2"/>
    <w:rsid w:val="009A2713"/>
    <w:rsid w:val="009B6198"/>
    <w:rsid w:val="009C21C8"/>
    <w:rsid w:val="009C6E8F"/>
    <w:rsid w:val="009D421C"/>
    <w:rsid w:val="009D714B"/>
    <w:rsid w:val="009E5234"/>
    <w:rsid w:val="00A15A77"/>
    <w:rsid w:val="00A15D13"/>
    <w:rsid w:val="00A254AF"/>
    <w:rsid w:val="00A53292"/>
    <w:rsid w:val="00A62F84"/>
    <w:rsid w:val="00AA4320"/>
    <w:rsid w:val="00AA5BEA"/>
    <w:rsid w:val="00AC03AB"/>
    <w:rsid w:val="00B40536"/>
    <w:rsid w:val="00B57496"/>
    <w:rsid w:val="00B82029"/>
    <w:rsid w:val="00B94EDB"/>
    <w:rsid w:val="00BA660B"/>
    <w:rsid w:val="00BC3FB8"/>
    <w:rsid w:val="00BE013D"/>
    <w:rsid w:val="00BF4908"/>
    <w:rsid w:val="00C0561B"/>
    <w:rsid w:val="00C05D75"/>
    <w:rsid w:val="00C16707"/>
    <w:rsid w:val="00C24256"/>
    <w:rsid w:val="00C826CD"/>
    <w:rsid w:val="00CD0F32"/>
    <w:rsid w:val="00CD2063"/>
    <w:rsid w:val="00CE6C2F"/>
    <w:rsid w:val="00CF19C8"/>
    <w:rsid w:val="00CF7990"/>
    <w:rsid w:val="00D1759C"/>
    <w:rsid w:val="00D607E6"/>
    <w:rsid w:val="00D843C1"/>
    <w:rsid w:val="00D85147"/>
    <w:rsid w:val="00DA274B"/>
    <w:rsid w:val="00DA4167"/>
    <w:rsid w:val="00DA5DD5"/>
    <w:rsid w:val="00DB5E59"/>
    <w:rsid w:val="00DF1409"/>
    <w:rsid w:val="00DF613D"/>
    <w:rsid w:val="00DF6DF2"/>
    <w:rsid w:val="00E514E9"/>
    <w:rsid w:val="00E54D17"/>
    <w:rsid w:val="00E5630D"/>
    <w:rsid w:val="00E5726A"/>
    <w:rsid w:val="00E575C2"/>
    <w:rsid w:val="00E709F7"/>
    <w:rsid w:val="00E95462"/>
    <w:rsid w:val="00EB1838"/>
    <w:rsid w:val="00EC5D5C"/>
    <w:rsid w:val="00F17D99"/>
    <w:rsid w:val="00F244FD"/>
    <w:rsid w:val="00F33765"/>
    <w:rsid w:val="00F33F5B"/>
    <w:rsid w:val="00F448C6"/>
    <w:rsid w:val="00F50BF6"/>
    <w:rsid w:val="00F84AFA"/>
    <w:rsid w:val="00FA7678"/>
    <w:rsid w:val="00FB221D"/>
    <w:rsid w:val="00FD0AF6"/>
    <w:rsid w:val="00FD6003"/>
    <w:rsid w:val="00FE0111"/>
    <w:rsid w:val="00FE2115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A306"/>
  <w15:docId w15:val="{C08FD71E-07CC-4886-B29D-A36B1CFC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B619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24256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7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2BD7"/>
  </w:style>
  <w:style w:type="paragraph" w:styleId="llb">
    <w:name w:val="footer"/>
    <w:basedOn w:val="Norml"/>
    <w:link w:val="llbChar"/>
    <w:uiPriority w:val="99"/>
    <w:unhideWhenUsed/>
    <w:rsid w:val="0007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arstatisztika.kormany.hu/agrargazdasag-hitelei2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b.hu/statisztika/statisztikai-adatok-informaciok/adatok-idosorok/x-monetaris-es-egyeb-merlegstatisztik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.aki.gov.hu/id/eprint/325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tinfo.ksh.hu/Statinfo/themeSelector.jsp?page=2&amp;szst=OM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h.hu/docs/hun/xstadat/xstadat_evkozi/e_omc001b.html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iter%20Szilvia\A_Agr&#225;rhitelek\Statisztikai%20honlap\Munkaf&#225;jlok\2020.Q1\Sz&#225;mol&#225;s\Sz&#225;mol&#243;s_id&#337;sorok_&#225;br&#225;k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iter%20Szilvia\A_Agr&#225;rhitelek\Statisztikai%20honlap\Munkaf&#225;jlok\2020.Q1\Sz&#225;mol&#225;s\Sz&#225;mol&#243;s_id&#337;sorok_&#225;br&#225;k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Idősorok_ábrák_Állományi!$BS$3</c:f>
              <c:strCache>
                <c:ptCount val="1"/>
                <c:pt idx="0">
                  <c:v>AM - Mg. gazdasági szervezetek (milliárd Ft)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700" b="1"/>
                </a:pPr>
                <a:endParaRPr lang="hu-H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Idősorok_ábrák_Állományi!$BT$2:$CK$2</c:f>
              <c:strCache>
                <c:ptCount val="18"/>
                <c:pt idx="0">
                  <c:v>2016. I. </c:v>
                </c:pt>
                <c:pt idx="1">
                  <c:v>2016.II.</c:v>
                </c:pt>
                <c:pt idx="2">
                  <c:v>2016.III.</c:v>
                </c:pt>
                <c:pt idx="3">
                  <c:v>2016.IV.</c:v>
                </c:pt>
                <c:pt idx="4">
                  <c:v>2017.I.</c:v>
                </c:pt>
                <c:pt idx="5">
                  <c:v>2017.II.</c:v>
                </c:pt>
                <c:pt idx="6">
                  <c:v>2017.III.</c:v>
                </c:pt>
                <c:pt idx="7">
                  <c:v>2017.IV.</c:v>
                </c:pt>
                <c:pt idx="8">
                  <c:v>2018.I.R</c:v>
                </c:pt>
                <c:pt idx="9">
                  <c:v>2018.I.Ú</c:v>
                </c:pt>
                <c:pt idx="10">
                  <c:v>2018.II.</c:v>
                </c:pt>
                <c:pt idx="11">
                  <c:v>2018.III.</c:v>
                </c:pt>
                <c:pt idx="12">
                  <c:v>2018.IV.</c:v>
                </c:pt>
                <c:pt idx="13">
                  <c:v>2019.I. </c:v>
                </c:pt>
                <c:pt idx="14">
                  <c:v>2019.II.</c:v>
                </c:pt>
                <c:pt idx="15">
                  <c:v>2019.III.</c:v>
                </c:pt>
                <c:pt idx="16">
                  <c:v>2019.IV.</c:v>
                </c:pt>
                <c:pt idx="17">
                  <c:v>2020.I.</c:v>
                </c:pt>
              </c:strCache>
            </c:strRef>
          </c:cat>
          <c:val>
            <c:numRef>
              <c:f>Idősorok_ábrák_Állományi!$BT$3:$CK$3</c:f>
              <c:numCache>
                <c:formatCode>#,##0.0</c:formatCode>
                <c:ptCount val="18"/>
                <c:pt idx="0">
                  <c:v>332.54899999999998</c:v>
                </c:pt>
                <c:pt idx="1">
                  <c:v>336.06400000000002</c:v>
                </c:pt>
                <c:pt idx="2">
                  <c:v>349.69499999999999</c:v>
                </c:pt>
                <c:pt idx="3">
                  <c:v>310.613</c:v>
                </c:pt>
                <c:pt idx="4">
                  <c:v>312.786</c:v>
                </c:pt>
                <c:pt idx="5">
                  <c:v>308.18400000000003</c:v>
                </c:pt>
                <c:pt idx="6">
                  <c:v>315.42700000000002</c:v>
                </c:pt>
                <c:pt idx="7">
                  <c:v>305.62799999999999</c:v>
                </c:pt>
                <c:pt idx="8">
                  <c:v>284.17</c:v>
                </c:pt>
                <c:pt idx="9">
                  <c:v>301.46699999999998</c:v>
                </c:pt>
                <c:pt idx="10">
                  <c:v>314.30500000000001</c:v>
                </c:pt>
                <c:pt idx="11">
                  <c:v>331.17099999999999</c:v>
                </c:pt>
                <c:pt idx="12">
                  <c:v>314.52800000000002</c:v>
                </c:pt>
                <c:pt idx="13">
                  <c:v>350.202</c:v>
                </c:pt>
                <c:pt idx="14">
                  <c:v>373.863</c:v>
                </c:pt>
                <c:pt idx="15">
                  <c:v>388.93900000000002</c:v>
                </c:pt>
                <c:pt idx="16">
                  <c:v>380</c:v>
                </c:pt>
                <c:pt idx="17">
                  <c:v>392.31833999999998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9A-491F-87FF-BDBFE31BBCF1}"/>
            </c:ext>
          </c:extLst>
        </c:ser>
        <c:ser>
          <c:idx val="1"/>
          <c:order val="1"/>
          <c:tx>
            <c:strRef>
              <c:f>Idősorok_ábrák_Állományi!$BS$4</c:f>
              <c:strCache>
                <c:ptCount val="1"/>
                <c:pt idx="0">
                  <c:v>MNB - Mg. gazdasági szervezetek (milliárd Ft)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700" b="1"/>
                </a:pPr>
                <a:endParaRPr lang="hu-H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Idősorok_ábrák_Állományi!$BT$2:$CK$2</c:f>
              <c:strCache>
                <c:ptCount val="18"/>
                <c:pt idx="0">
                  <c:v>2016. I. </c:v>
                </c:pt>
                <c:pt idx="1">
                  <c:v>2016.II.</c:v>
                </c:pt>
                <c:pt idx="2">
                  <c:v>2016.III.</c:v>
                </c:pt>
                <c:pt idx="3">
                  <c:v>2016.IV.</c:v>
                </c:pt>
                <c:pt idx="4">
                  <c:v>2017.I.</c:v>
                </c:pt>
                <c:pt idx="5">
                  <c:v>2017.II.</c:v>
                </c:pt>
                <c:pt idx="6">
                  <c:v>2017.III.</c:v>
                </c:pt>
                <c:pt idx="7">
                  <c:v>2017.IV.</c:v>
                </c:pt>
                <c:pt idx="8">
                  <c:v>2018.I.R</c:v>
                </c:pt>
                <c:pt idx="9">
                  <c:v>2018.I.Ú</c:v>
                </c:pt>
                <c:pt idx="10">
                  <c:v>2018.II.</c:v>
                </c:pt>
                <c:pt idx="11">
                  <c:v>2018.III.</c:v>
                </c:pt>
                <c:pt idx="12">
                  <c:v>2018.IV.</c:v>
                </c:pt>
                <c:pt idx="13">
                  <c:v>2019.I. </c:v>
                </c:pt>
                <c:pt idx="14">
                  <c:v>2019.II.</c:v>
                </c:pt>
                <c:pt idx="15">
                  <c:v>2019.III.</c:v>
                </c:pt>
                <c:pt idx="16">
                  <c:v>2019.IV.</c:v>
                </c:pt>
                <c:pt idx="17">
                  <c:v>2020.I.</c:v>
                </c:pt>
              </c:strCache>
            </c:strRef>
          </c:cat>
          <c:val>
            <c:numRef>
              <c:f>Idősorok_ábrák_Állományi!$BT$4:$CK$4</c:f>
              <c:numCache>
                <c:formatCode>#,##0.0</c:formatCode>
                <c:ptCount val="18"/>
                <c:pt idx="0">
                  <c:v>351.96537000000001</c:v>
                </c:pt>
                <c:pt idx="1">
                  <c:v>354.83994000000001</c:v>
                </c:pt>
                <c:pt idx="2">
                  <c:v>371.57895000000002</c:v>
                </c:pt>
                <c:pt idx="3">
                  <c:v>351.37666999999999</c:v>
                </c:pt>
                <c:pt idx="4">
                  <c:v>332.86536000000001</c:v>
                </c:pt>
                <c:pt idx="5">
                  <c:v>341.21614</c:v>
                </c:pt>
                <c:pt idx="6">
                  <c:v>346.96323999999998</c:v>
                </c:pt>
                <c:pt idx="7">
                  <c:v>329.39055000000002</c:v>
                </c:pt>
                <c:pt idx="8">
                  <c:v>314.77183000000002</c:v>
                </c:pt>
                <c:pt idx="9">
                  <c:v>314.77267000000001</c:v>
                </c:pt>
                <c:pt idx="10">
                  <c:v>333.16399999999999</c:v>
                </c:pt>
                <c:pt idx="11">
                  <c:v>352.96186</c:v>
                </c:pt>
                <c:pt idx="12">
                  <c:v>359.98703</c:v>
                </c:pt>
                <c:pt idx="13">
                  <c:v>356.20118000000002</c:v>
                </c:pt>
                <c:pt idx="14">
                  <c:v>383.27381000000003</c:v>
                </c:pt>
                <c:pt idx="15">
                  <c:v>406.90350000000001</c:v>
                </c:pt>
                <c:pt idx="16">
                  <c:v>386.73072000000002</c:v>
                </c:pt>
                <c:pt idx="17">
                  <c:v>402.71722999999997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9A-491F-87FF-BDBFE31BBC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686592"/>
        <c:axId val="110688128"/>
      </c:barChart>
      <c:catAx>
        <c:axId val="110686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50"/>
            </a:pPr>
            <a:endParaRPr lang="hu-HU"/>
          </a:p>
        </c:txPr>
        <c:crossAx val="110688128"/>
        <c:crosses val="autoZero"/>
        <c:auto val="1"/>
        <c:lblAlgn val="ctr"/>
        <c:lblOffset val="100"/>
        <c:noMultiLvlLbl val="0"/>
      </c:catAx>
      <c:valAx>
        <c:axId val="11068812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hu-HU"/>
          </a:p>
        </c:txPr>
        <c:crossAx val="1106865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700"/>
          </a:pPr>
          <a:endParaRPr lang="hu-H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Idősorok_ábrák_Állományi!$BS$32</c:f>
              <c:strCache>
                <c:ptCount val="1"/>
                <c:pt idx="0">
                  <c:v>AM - ÉLIP gazdasági szervezetek (milliárd Ft)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700" b="1"/>
                </a:pPr>
                <a:endParaRPr lang="hu-H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Idősorok_ábrák_Állományi!$BT$31:$CK$31</c:f>
              <c:strCache>
                <c:ptCount val="18"/>
                <c:pt idx="0">
                  <c:v>2016. I. </c:v>
                </c:pt>
                <c:pt idx="1">
                  <c:v>2016.II.</c:v>
                </c:pt>
                <c:pt idx="2">
                  <c:v>2016.III.</c:v>
                </c:pt>
                <c:pt idx="3">
                  <c:v>2016.IV.</c:v>
                </c:pt>
                <c:pt idx="4">
                  <c:v>2017.I.</c:v>
                </c:pt>
                <c:pt idx="5">
                  <c:v>2017.II.</c:v>
                </c:pt>
                <c:pt idx="6">
                  <c:v>2017.III.</c:v>
                </c:pt>
                <c:pt idx="7">
                  <c:v>2017.IV.</c:v>
                </c:pt>
                <c:pt idx="8">
                  <c:v>2018.I.R</c:v>
                </c:pt>
                <c:pt idx="9">
                  <c:v>2018.I.Ú</c:v>
                </c:pt>
                <c:pt idx="10">
                  <c:v>2018.II.</c:v>
                </c:pt>
                <c:pt idx="11">
                  <c:v>2018.III.</c:v>
                </c:pt>
                <c:pt idx="12">
                  <c:v>2018.IV.</c:v>
                </c:pt>
                <c:pt idx="13">
                  <c:v>2019.I. </c:v>
                </c:pt>
                <c:pt idx="14">
                  <c:v>2019.II.</c:v>
                </c:pt>
                <c:pt idx="15">
                  <c:v>2019.III.</c:v>
                </c:pt>
                <c:pt idx="16">
                  <c:v>2019.IV.</c:v>
                </c:pt>
                <c:pt idx="17">
                  <c:v>2020.I.</c:v>
                </c:pt>
              </c:strCache>
            </c:strRef>
          </c:cat>
          <c:val>
            <c:numRef>
              <c:f>Idősorok_ábrák_Állományi!$BT$32:$CK$32</c:f>
              <c:numCache>
                <c:formatCode>#,##0.0</c:formatCode>
                <c:ptCount val="18"/>
                <c:pt idx="0">
                  <c:v>381.036</c:v>
                </c:pt>
                <c:pt idx="1">
                  <c:v>386.89600000000002</c:v>
                </c:pt>
                <c:pt idx="2">
                  <c:v>412.786</c:v>
                </c:pt>
                <c:pt idx="3">
                  <c:v>418.65300000000002</c:v>
                </c:pt>
                <c:pt idx="4">
                  <c:v>388.79399999999998</c:v>
                </c:pt>
                <c:pt idx="5">
                  <c:v>378.63900000000001</c:v>
                </c:pt>
                <c:pt idx="6">
                  <c:v>422.02100000000002</c:v>
                </c:pt>
                <c:pt idx="7">
                  <c:v>455.839</c:v>
                </c:pt>
                <c:pt idx="8">
                  <c:v>442.11399999999998</c:v>
                </c:pt>
                <c:pt idx="9">
                  <c:v>444.90100000000001</c:v>
                </c:pt>
                <c:pt idx="10">
                  <c:v>461.14699999999999</c:v>
                </c:pt>
                <c:pt idx="11">
                  <c:v>491.89299999999997</c:v>
                </c:pt>
                <c:pt idx="12">
                  <c:v>497.714</c:v>
                </c:pt>
                <c:pt idx="13">
                  <c:v>515.46</c:v>
                </c:pt>
                <c:pt idx="14">
                  <c:v>506.084</c:v>
                </c:pt>
                <c:pt idx="15">
                  <c:v>541.42999999999995</c:v>
                </c:pt>
                <c:pt idx="16">
                  <c:v>539.29999999999995</c:v>
                </c:pt>
                <c:pt idx="17">
                  <c:v>553.56083999999998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4D-44E8-B17C-9946614723D0}"/>
            </c:ext>
          </c:extLst>
        </c:ser>
        <c:ser>
          <c:idx val="1"/>
          <c:order val="1"/>
          <c:tx>
            <c:strRef>
              <c:f>Idősorok_ábrák_Állományi!$BS$33</c:f>
              <c:strCache>
                <c:ptCount val="1"/>
                <c:pt idx="0">
                  <c:v>MNB - ÉLIP gazdasági szervezetek (milliárd Ft)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700" b="1"/>
                </a:pPr>
                <a:endParaRPr lang="hu-H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Idősorok_ábrák_Állományi!$BT$31:$CK$31</c:f>
              <c:strCache>
                <c:ptCount val="18"/>
                <c:pt idx="0">
                  <c:v>2016. I. </c:v>
                </c:pt>
                <c:pt idx="1">
                  <c:v>2016.II.</c:v>
                </c:pt>
                <c:pt idx="2">
                  <c:v>2016.III.</c:v>
                </c:pt>
                <c:pt idx="3">
                  <c:v>2016.IV.</c:v>
                </c:pt>
                <c:pt idx="4">
                  <c:v>2017.I.</c:v>
                </c:pt>
                <c:pt idx="5">
                  <c:v>2017.II.</c:v>
                </c:pt>
                <c:pt idx="6">
                  <c:v>2017.III.</c:v>
                </c:pt>
                <c:pt idx="7">
                  <c:v>2017.IV.</c:v>
                </c:pt>
                <c:pt idx="8">
                  <c:v>2018.I.R</c:v>
                </c:pt>
                <c:pt idx="9">
                  <c:v>2018.I.Ú</c:v>
                </c:pt>
                <c:pt idx="10">
                  <c:v>2018.II.</c:v>
                </c:pt>
                <c:pt idx="11">
                  <c:v>2018.III.</c:v>
                </c:pt>
                <c:pt idx="12">
                  <c:v>2018.IV.</c:v>
                </c:pt>
                <c:pt idx="13">
                  <c:v>2019.I. </c:v>
                </c:pt>
                <c:pt idx="14">
                  <c:v>2019.II.</c:v>
                </c:pt>
                <c:pt idx="15">
                  <c:v>2019.III.</c:v>
                </c:pt>
                <c:pt idx="16">
                  <c:v>2019.IV.</c:v>
                </c:pt>
                <c:pt idx="17">
                  <c:v>2020.I.</c:v>
                </c:pt>
              </c:strCache>
            </c:strRef>
          </c:cat>
          <c:val>
            <c:numRef>
              <c:f>Idősorok_ábrák_Állományi!$BT$33:$CK$33</c:f>
              <c:numCache>
                <c:formatCode>#,##0.0</c:formatCode>
                <c:ptCount val="18"/>
                <c:pt idx="0">
                  <c:v>380.59573</c:v>
                </c:pt>
                <c:pt idx="1">
                  <c:v>377.43749000000003</c:v>
                </c:pt>
                <c:pt idx="2">
                  <c:v>386.44666999999998</c:v>
                </c:pt>
                <c:pt idx="3">
                  <c:v>398.72843</c:v>
                </c:pt>
                <c:pt idx="4">
                  <c:v>387.74041999999997</c:v>
                </c:pt>
                <c:pt idx="5">
                  <c:v>373.88956000000002</c:v>
                </c:pt>
                <c:pt idx="6">
                  <c:v>419.99621999999999</c:v>
                </c:pt>
                <c:pt idx="7">
                  <c:v>447.26745</c:v>
                </c:pt>
                <c:pt idx="8">
                  <c:v>443.12950999999998</c:v>
                </c:pt>
                <c:pt idx="9">
                  <c:v>443.13673</c:v>
                </c:pt>
                <c:pt idx="10">
                  <c:v>440.39087999999998</c:v>
                </c:pt>
                <c:pt idx="11">
                  <c:v>481.72215999999997</c:v>
                </c:pt>
                <c:pt idx="12">
                  <c:v>515.46486000000004</c:v>
                </c:pt>
                <c:pt idx="13">
                  <c:v>509.97645999999997</c:v>
                </c:pt>
                <c:pt idx="14">
                  <c:v>507.57857999999999</c:v>
                </c:pt>
                <c:pt idx="15">
                  <c:v>535.86757</c:v>
                </c:pt>
                <c:pt idx="16">
                  <c:v>535.68204000000003</c:v>
                </c:pt>
                <c:pt idx="17">
                  <c:v>546.27219000000002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4D-44E8-B17C-9946614723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150208"/>
        <c:axId val="113156096"/>
      </c:barChart>
      <c:catAx>
        <c:axId val="113150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50"/>
            </a:pPr>
            <a:endParaRPr lang="hu-HU"/>
          </a:p>
        </c:txPr>
        <c:crossAx val="113156096"/>
        <c:crosses val="autoZero"/>
        <c:auto val="1"/>
        <c:lblAlgn val="ctr"/>
        <c:lblOffset val="100"/>
        <c:noMultiLvlLbl val="0"/>
      </c:catAx>
      <c:valAx>
        <c:axId val="113156096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hu-HU"/>
          </a:p>
        </c:txPr>
        <c:crossAx val="1131502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700"/>
          </a:pPr>
          <a:endParaRPr lang="hu-H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A7CA-09F3-405D-BF44-E8B8605D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738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Szilvia Reiter</cp:lastModifiedBy>
  <cp:revision>8</cp:revision>
  <cp:lastPrinted>2018-06-21T14:05:00Z</cp:lastPrinted>
  <dcterms:created xsi:type="dcterms:W3CDTF">2020-02-21T14:34:00Z</dcterms:created>
  <dcterms:modified xsi:type="dcterms:W3CDTF">2020-05-16T13:43:00Z</dcterms:modified>
</cp:coreProperties>
</file>