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C0" w:rsidRPr="006B1F68" w:rsidRDefault="003F7FC0" w:rsidP="003F7F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F68">
        <w:rPr>
          <w:rFonts w:ascii="Times New Roman" w:hAnsi="Times New Roman" w:cs="Times New Roman"/>
          <w:b/>
          <w:sz w:val="32"/>
          <w:szCs w:val="32"/>
        </w:rPr>
        <w:t>Statisztikai közlemény</w:t>
      </w:r>
    </w:p>
    <w:p w:rsidR="003F7FC0" w:rsidRPr="006B1F68" w:rsidRDefault="003F7FC0" w:rsidP="003F7FC0">
      <w:pPr>
        <w:jc w:val="center"/>
        <w:rPr>
          <w:rFonts w:ascii="Times New Roman" w:hAnsi="Times New Roman" w:cs="Times New Roman"/>
          <w:i/>
        </w:rPr>
      </w:pPr>
      <w:proofErr w:type="gramStart"/>
      <w:r w:rsidRPr="006B1F68">
        <w:rPr>
          <w:rFonts w:ascii="Times New Roman" w:hAnsi="Times New Roman" w:cs="Times New Roman"/>
        </w:rPr>
        <w:t>a</w:t>
      </w:r>
      <w:proofErr w:type="gramEnd"/>
      <w:r w:rsidRPr="006B1F68">
        <w:rPr>
          <w:rFonts w:ascii="Times New Roman" w:hAnsi="Times New Roman" w:cs="Times New Roman"/>
          <w:i/>
        </w:rPr>
        <w:t xml:space="preserve"> „Nettó fakitermelés” c.</w:t>
      </w:r>
      <w:r>
        <w:rPr>
          <w:rFonts w:ascii="Times New Roman" w:hAnsi="Times New Roman" w:cs="Times New Roman"/>
          <w:i/>
        </w:rPr>
        <w:t xml:space="preserve"> </w:t>
      </w:r>
      <w:r w:rsidRPr="00996EC9">
        <w:rPr>
          <w:rFonts w:ascii="Times New Roman" w:hAnsi="Times New Roman" w:cs="Times New Roman"/>
        </w:rPr>
        <w:t>(OSAP 1257)</w:t>
      </w:r>
    </w:p>
    <w:p w:rsidR="003F7FC0" w:rsidRPr="006B1F68" w:rsidRDefault="003F7FC0" w:rsidP="003F7FC0">
      <w:pPr>
        <w:jc w:val="center"/>
        <w:rPr>
          <w:rFonts w:ascii="Times New Roman" w:hAnsi="Times New Roman" w:cs="Times New Roman"/>
          <w:b/>
        </w:rPr>
      </w:pPr>
      <w:r w:rsidRPr="006B1F68">
        <w:rPr>
          <w:rFonts w:ascii="Times New Roman" w:hAnsi="Times New Roman" w:cs="Times New Roman"/>
          <w:b/>
        </w:rPr>
        <w:t>20</w:t>
      </w:r>
      <w:r w:rsidR="00250F5C">
        <w:rPr>
          <w:rFonts w:ascii="Times New Roman" w:hAnsi="Times New Roman" w:cs="Times New Roman"/>
          <w:b/>
        </w:rPr>
        <w:t>20</w:t>
      </w:r>
      <w:r w:rsidRPr="006B1F68">
        <w:rPr>
          <w:rFonts w:ascii="Times New Roman" w:hAnsi="Times New Roman" w:cs="Times New Roman"/>
          <w:b/>
        </w:rPr>
        <w:t>. évi</w:t>
      </w:r>
    </w:p>
    <w:p w:rsidR="003F7FC0" w:rsidRPr="006B1F68" w:rsidRDefault="003F7FC0" w:rsidP="003F7FC0">
      <w:pPr>
        <w:jc w:val="center"/>
        <w:rPr>
          <w:rFonts w:ascii="Times New Roman" w:hAnsi="Times New Roman" w:cs="Times New Roman"/>
          <w:b/>
        </w:rPr>
      </w:pPr>
      <w:proofErr w:type="gramStart"/>
      <w:r w:rsidRPr="006B1F68">
        <w:rPr>
          <w:rFonts w:ascii="Times New Roman" w:hAnsi="Times New Roman" w:cs="Times New Roman"/>
          <w:b/>
        </w:rPr>
        <w:t>adatgyűjtésről</w:t>
      </w:r>
      <w:proofErr w:type="gramEnd"/>
    </w:p>
    <w:p w:rsidR="003F7FC0" w:rsidRDefault="003F7FC0"/>
    <w:p w:rsidR="003F7FC0" w:rsidRDefault="003F7FC0" w:rsidP="003F7FC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adatgyűjtés </w:t>
      </w:r>
      <w:r w:rsidR="00E56BE2">
        <w:rPr>
          <w:rFonts w:ascii="Times New Roman" w:hAnsi="Times New Roman" w:cs="Times New Roman"/>
          <w:b/>
          <w:sz w:val="24"/>
          <w:szCs w:val="24"/>
        </w:rPr>
        <w:t>jellemzői</w:t>
      </w:r>
    </w:p>
    <w:p w:rsidR="00250F5C" w:rsidRDefault="00834E25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34E25">
        <w:rPr>
          <w:rFonts w:ascii="Times New Roman" w:hAnsi="Times New Roman" w:cs="Times New Roman"/>
          <w:i/>
          <w:sz w:val="24"/>
          <w:szCs w:val="24"/>
        </w:rPr>
        <w:t>Nettó fakitermelés</w:t>
      </w:r>
      <w:r>
        <w:rPr>
          <w:rFonts w:ascii="Times New Roman" w:hAnsi="Times New Roman" w:cs="Times New Roman"/>
          <w:sz w:val="24"/>
          <w:szCs w:val="24"/>
        </w:rPr>
        <w:t xml:space="preserve"> c. adatgyűjtés célja a hazánk erdeiből kitermelt nettó fatérfogat fafaj-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választékösszetételének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becslése. </w:t>
      </w:r>
      <w:r w:rsidR="00996EC9">
        <w:rPr>
          <w:rFonts w:ascii="Times New Roman" w:hAnsi="Times New Roman" w:cs="Times New Roman"/>
          <w:sz w:val="24"/>
          <w:szCs w:val="24"/>
        </w:rPr>
        <w:t xml:space="preserve">Az adatgyűjtés </w:t>
      </w:r>
      <w:r>
        <w:rPr>
          <w:rFonts w:ascii="Times New Roman" w:hAnsi="Times New Roman" w:cs="Times New Roman"/>
          <w:sz w:val="24"/>
          <w:szCs w:val="24"/>
        </w:rPr>
        <w:t xml:space="preserve">kombinált típusú, ami azt jelenti, hogy </w:t>
      </w:r>
      <w:r w:rsidR="00996EC9">
        <w:rPr>
          <w:rFonts w:ascii="Times New Roman" w:hAnsi="Times New Roman" w:cs="Times New Roman"/>
          <w:sz w:val="24"/>
          <w:szCs w:val="24"/>
        </w:rPr>
        <w:t>az állami erdőgazd</w:t>
      </w:r>
      <w:r>
        <w:rPr>
          <w:rFonts w:ascii="Times New Roman" w:hAnsi="Times New Roman" w:cs="Times New Roman"/>
          <w:sz w:val="24"/>
          <w:szCs w:val="24"/>
        </w:rPr>
        <w:t xml:space="preserve">aságokra nézve teljes körű, az egyéb állami, </w:t>
      </w:r>
      <w:proofErr w:type="gramStart"/>
      <w:r>
        <w:rPr>
          <w:rFonts w:ascii="Times New Roman" w:hAnsi="Times New Roman" w:cs="Times New Roman"/>
          <w:sz w:val="24"/>
          <w:szCs w:val="24"/>
        </w:rPr>
        <w:t>közösségi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</w:t>
      </w:r>
      <w:r w:rsidR="00996EC9">
        <w:rPr>
          <w:rFonts w:ascii="Times New Roman" w:hAnsi="Times New Roman" w:cs="Times New Roman"/>
          <w:sz w:val="24"/>
          <w:szCs w:val="24"/>
        </w:rPr>
        <w:t>magán erdőgazdálkodók esetében pedig mintavételezésen alapuló. A mintavételezés során a statisztikai értelemben vett alapsokaságot azon erdőgazdálkodók</w:t>
      </w:r>
      <w:r w:rsidR="00E56BE2">
        <w:rPr>
          <w:rFonts w:ascii="Times New Roman" w:hAnsi="Times New Roman" w:cs="Times New Roman"/>
          <w:sz w:val="24"/>
          <w:szCs w:val="24"/>
        </w:rPr>
        <w:t xml:space="preserve"> adatai képezik, akik az adott évre vonatkozólag bejelentett fakitermeléssel rendelkeznek. A mintába kerülő erdőgazdálkodókat véletlenszerűen választjuk ki, ami a reprezentativitás alapvető feltétele. </w:t>
      </w:r>
      <w:r w:rsidR="00250F5C">
        <w:rPr>
          <w:rFonts w:ascii="Times New Roman" w:hAnsi="Times New Roman" w:cs="Times New Roman"/>
          <w:sz w:val="24"/>
          <w:szCs w:val="24"/>
        </w:rPr>
        <w:t>A véletlenszerű kiválasztás a 2017-2019 időszakban a tervezett fakitermelés volumene szerint súlyozottan történt. Ez tehát azt jelentette, hogy a – tervezetten – több fakitermelést végző erdőgazdálkodók nagyobb valószínűséggel kerültek a mintába. Ez a mintavétel alkalmas arra, hogy abból az országos átlagos választékarányt becsüljük, vagyis azt, hogy milyen az egyes erdei fatermékek (rönkféleségek, tűzifa stb.) aránya az összes kitermelt nettó fatérfogatból</w:t>
      </w:r>
      <w:r w:rsidR="006A1A46">
        <w:rPr>
          <w:rFonts w:ascii="Times New Roman" w:hAnsi="Times New Roman" w:cs="Times New Roman"/>
          <w:sz w:val="24"/>
          <w:szCs w:val="24"/>
        </w:rPr>
        <w:t xml:space="preserve"> (a magánszektor esetében)</w:t>
      </w:r>
      <w:r w:rsidR="00250F5C">
        <w:rPr>
          <w:rFonts w:ascii="Times New Roman" w:hAnsi="Times New Roman" w:cs="Times New Roman"/>
          <w:sz w:val="24"/>
          <w:szCs w:val="24"/>
        </w:rPr>
        <w:t xml:space="preserve">. Az utóbbi mennyiséget azonban az Országos Erdőállomány Adattárban nyilvántartott kitermelt bruttó fatérfogatból számítottuk (nettósítás) </w:t>
      </w:r>
      <w:proofErr w:type="spellStart"/>
      <w:r w:rsidR="00250F5C">
        <w:rPr>
          <w:rFonts w:ascii="Times New Roman" w:hAnsi="Times New Roman" w:cs="Times New Roman"/>
          <w:sz w:val="24"/>
          <w:szCs w:val="24"/>
        </w:rPr>
        <w:t>fafajcsoport</w:t>
      </w:r>
      <w:proofErr w:type="spellEnd"/>
      <w:r w:rsidR="00250F5C">
        <w:rPr>
          <w:rFonts w:ascii="Times New Roman" w:hAnsi="Times New Roman" w:cs="Times New Roman"/>
          <w:sz w:val="24"/>
          <w:szCs w:val="24"/>
        </w:rPr>
        <w:t xml:space="preserve"> és a fakitermelés módja szerint.</w:t>
      </w:r>
    </w:p>
    <w:p w:rsidR="00250F5C" w:rsidRDefault="00250F5C" w:rsidP="003F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Annak érdekében, hogy </w:t>
      </w:r>
      <w:r w:rsidR="00D00F93">
        <w:rPr>
          <w:rFonts w:ascii="Times New Roman" w:hAnsi="Times New Roman" w:cs="Times New Roman"/>
          <w:sz w:val="24"/>
          <w:szCs w:val="24"/>
        </w:rPr>
        <w:t>a szakirodalomból származó</w:t>
      </w:r>
      <w:r w:rsidR="001872B5">
        <w:rPr>
          <w:rFonts w:ascii="Times New Roman" w:hAnsi="Times New Roman" w:cs="Times New Roman"/>
          <w:sz w:val="24"/>
          <w:szCs w:val="24"/>
        </w:rPr>
        <w:t xml:space="preserve">, nettósításhoz használt ún. </w:t>
      </w:r>
      <w:proofErr w:type="spellStart"/>
      <w:proofErr w:type="gramStart"/>
      <w:r w:rsidR="001872B5">
        <w:rPr>
          <w:rFonts w:ascii="Times New Roman" w:hAnsi="Times New Roman" w:cs="Times New Roman"/>
          <w:sz w:val="24"/>
          <w:szCs w:val="24"/>
        </w:rPr>
        <w:t>apadékarányokra</w:t>
      </w:r>
      <w:proofErr w:type="spellEnd"/>
      <w:r w:rsidR="001872B5">
        <w:rPr>
          <w:rFonts w:ascii="Times New Roman" w:hAnsi="Times New Roman" w:cs="Times New Roman"/>
          <w:sz w:val="24"/>
          <w:szCs w:val="24"/>
        </w:rPr>
        <w:t xml:space="preserve"> a továbbiakban ne legyen szükség, másképp fogalmazva: az országos nettó fakitermelés közvetlenül a mintából becsülhető legyen, 2020-tól a mintavételt a következő módon változtattuk meg: egyrészt a teljes körűséget az állami szektor egészére kiterjesztettük (az erdőgazdaságokon kívül tehát a Nem</w:t>
      </w:r>
      <w:r w:rsidR="00AB5AA5">
        <w:rPr>
          <w:rFonts w:ascii="Times New Roman" w:hAnsi="Times New Roman" w:cs="Times New Roman"/>
          <w:sz w:val="24"/>
          <w:szCs w:val="24"/>
        </w:rPr>
        <w:t>zeti Park Igazgatóságokra és a V</w:t>
      </w:r>
      <w:r w:rsidR="001872B5">
        <w:rPr>
          <w:rFonts w:ascii="Times New Roman" w:hAnsi="Times New Roman" w:cs="Times New Roman"/>
          <w:sz w:val="24"/>
          <w:szCs w:val="24"/>
        </w:rPr>
        <w:t>ízügyi szervekre); másrészt a magánszektor (beleértve a közösségi szektort is) esetében rétegzett súlyozatlan mintavételt alkalmaztunk, ahol a réteget a tervezett kitermeléssel érintett terület jelentette.</w:t>
      </w:r>
      <w:proofErr w:type="gramEnd"/>
      <w:r w:rsidR="001872B5">
        <w:rPr>
          <w:rFonts w:ascii="Times New Roman" w:hAnsi="Times New Roman" w:cs="Times New Roman"/>
          <w:sz w:val="24"/>
          <w:szCs w:val="24"/>
        </w:rPr>
        <w:t xml:space="preserve"> </w:t>
      </w:r>
      <w:r w:rsidR="003456F6">
        <w:rPr>
          <w:rFonts w:ascii="Times New Roman" w:hAnsi="Times New Roman" w:cs="Times New Roman"/>
          <w:sz w:val="24"/>
          <w:szCs w:val="24"/>
        </w:rPr>
        <w:t xml:space="preserve">Az alkalmazott módszerek bővebb leírását lásd a </w:t>
      </w:r>
      <w:hyperlink r:id="rId9" w:history="1">
        <w:r w:rsidR="003456F6" w:rsidRPr="003456F6">
          <w:rPr>
            <w:rStyle w:val="Hiperhivatkozs"/>
            <w:rFonts w:ascii="Times New Roman" w:hAnsi="Times New Roman" w:cs="Times New Roman"/>
            <w:sz w:val="24"/>
            <w:szCs w:val="24"/>
          </w:rPr>
          <w:t>metaadatokban</w:t>
        </w:r>
      </w:hyperlink>
      <w:r w:rsidR="003456F6">
        <w:rPr>
          <w:rFonts w:ascii="Times New Roman" w:hAnsi="Times New Roman" w:cs="Times New Roman"/>
          <w:sz w:val="24"/>
          <w:szCs w:val="24"/>
        </w:rPr>
        <w:t>.</w:t>
      </w:r>
      <w:r w:rsidR="006A1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A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A1A46">
        <w:rPr>
          <w:rFonts w:ascii="Times New Roman" w:hAnsi="Times New Roman" w:cs="Times New Roman"/>
          <w:sz w:val="24"/>
          <w:szCs w:val="24"/>
        </w:rPr>
        <w:t xml:space="preserve"> megváltozott mintavételi módszertan miatt a tavalyi évhez képest történt változásokat az erdőgazdaságok példáján mutatjuk majd be, hiszen azok mintavétele mindkét évben </w:t>
      </w:r>
      <w:r w:rsidR="002227A3">
        <w:rPr>
          <w:rFonts w:ascii="Times New Roman" w:hAnsi="Times New Roman" w:cs="Times New Roman"/>
          <w:sz w:val="24"/>
          <w:szCs w:val="24"/>
        </w:rPr>
        <w:t>azonos módszerű (</w:t>
      </w:r>
      <w:r w:rsidR="006A1A46">
        <w:rPr>
          <w:rFonts w:ascii="Times New Roman" w:hAnsi="Times New Roman" w:cs="Times New Roman"/>
          <w:sz w:val="24"/>
          <w:szCs w:val="24"/>
        </w:rPr>
        <w:t>teljes körű</w:t>
      </w:r>
      <w:r w:rsidR="002227A3">
        <w:rPr>
          <w:rFonts w:ascii="Times New Roman" w:hAnsi="Times New Roman" w:cs="Times New Roman"/>
          <w:sz w:val="24"/>
          <w:szCs w:val="24"/>
        </w:rPr>
        <w:t>)</w:t>
      </w:r>
      <w:r w:rsidR="006A1A46">
        <w:rPr>
          <w:rFonts w:ascii="Times New Roman" w:hAnsi="Times New Roman" w:cs="Times New Roman"/>
          <w:sz w:val="24"/>
          <w:szCs w:val="24"/>
        </w:rPr>
        <w:t xml:space="preserve"> volt.</w:t>
      </w:r>
    </w:p>
    <w:p w:rsidR="001872B5" w:rsidRDefault="001872B5" w:rsidP="003F7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6C6" w:rsidRPr="00C610F0" w:rsidRDefault="006862B7" w:rsidP="00C610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Országos nettó fakitermelés</w:t>
      </w:r>
    </w:p>
    <w:p w:rsidR="00C610F0" w:rsidRDefault="006862B7" w:rsidP="00413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országos nettó fakitermelés 2020-ban </w:t>
      </w:r>
      <w:r w:rsidRPr="006862B7">
        <w:rPr>
          <w:rFonts w:ascii="Times New Roman" w:hAnsi="Times New Roman" w:cs="Times New Roman"/>
          <w:b/>
          <w:sz w:val="24"/>
          <w:szCs w:val="24"/>
        </w:rPr>
        <w:t>5,6 millió m³</w:t>
      </w:r>
      <w:r>
        <w:rPr>
          <w:rFonts w:ascii="Times New Roman" w:hAnsi="Times New Roman" w:cs="Times New Roman"/>
          <w:sz w:val="24"/>
          <w:szCs w:val="24"/>
        </w:rPr>
        <w:t xml:space="preserve"> volt</w:t>
      </w:r>
      <w:r w:rsidR="00C75726">
        <w:rPr>
          <w:rFonts w:ascii="Times New Roman" w:hAnsi="Times New Roman" w:cs="Times New Roman"/>
          <w:sz w:val="24"/>
          <w:szCs w:val="24"/>
        </w:rPr>
        <w:t xml:space="preserve"> (fajonkénti bontásban lásd </w:t>
      </w:r>
      <w:r w:rsidR="00C75726" w:rsidRPr="009A1D7C">
        <w:rPr>
          <w:rFonts w:ascii="Times New Roman" w:hAnsi="Times New Roman" w:cs="Times New Roman"/>
          <w:sz w:val="24"/>
          <w:szCs w:val="24"/>
        </w:rPr>
        <w:fldChar w:fldCharType="begin"/>
      </w:r>
      <w:r w:rsidR="00C75726" w:rsidRPr="009A1D7C">
        <w:rPr>
          <w:rFonts w:ascii="Times New Roman" w:hAnsi="Times New Roman" w:cs="Times New Roman"/>
          <w:sz w:val="24"/>
          <w:szCs w:val="24"/>
        </w:rPr>
        <w:instrText xml:space="preserve"> REF _Ref83209982 \h  \* MERGEFORMAT </w:instrText>
      </w:r>
      <w:r w:rsidR="00C75726" w:rsidRPr="009A1D7C">
        <w:rPr>
          <w:rFonts w:ascii="Times New Roman" w:hAnsi="Times New Roman" w:cs="Times New Roman"/>
          <w:sz w:val="24"/>
          <w:szCs w:val="24"/>
        </w:rPr>
      </w:r>
      <w:r w:rsidR="00C75726" w:rsidRPr="009A1D7C">
        <w:rPr>
          <w:rFonts w:ascii="Times New Roman" w:hAnsi="Times New Roman" w:cs="Times New Roman"/>
          <w:sz w:val="24"/>
          <w:szCs w:val="24"/>
        </w:rPr>
        <w:fldChar w:fldCharType="separate"/>
      </w:r>
      <w:r w:rsidR="00C75726" w:rsidRPr="009A1D7C">
        <w:rPr>
          <w:rFonts w:ascii="Times New Roman" w:hAnsi="Times New Roman" w:cs="Times New Roman"/>
          <w:noProof/>
          <w:sz w:val="24"/>
          <w:szCs w:val="24"/>
        </w:rPr>
        <w:t>1</w:t>
      </w:r>
      <w:r w:rsidR="00C75726" w:rsidRPr="009A1D7C">
        <w:rPr>
          <w:rFonts w:ascii="Times New Roman" w:hAnsi="Times New Roman" w:cs="Times New Roman"/>
          <w:sz w:val="24"/>
          <w:szCs w:val="24"/>
        </w:rPr>
        <w:t>. ábra</w:t>
      </w:r>
      <w:r w:rsidR="00C75726" w:rsidRPr="009A1D7C">
        <w:rPr>
          <w:rFonts w:ascii="Times New Roman" w:hAnsi="Times New Roman" w:cs="Times New Roman"/>
          <w:sz w:val="24"/>
          <w:szCs w:val="24"/>
        </w:rPr>
        <w:fldChar w:fldCharType="end"/>
      </w:r>
      <w:r w:rsidR="00C757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ami – az előző évekhez hasonlóan – mintegy 15 %-nyi </w:t>
      </w:r>
      <w:proofErr w:type="spellStart"/>
      <w:r>
        <w:rPr>
          <w:rFonts w:ascii="Times New Roman" w:hAnsi="Times New Roman" w:cs="Times New Roman"/>
          <w:sz w:val="24"/>
          <w:szCs w:val="24"/>
        </w:rPr>
        <w:t>apadékot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jelent. A mintavételezési eljárás megváltoztatása tehát a becsült </w:t>
      </w:r>
      <w:proofErr w:type="spellStart"/>
      <w:r>
        <w:rPr>
          <w:rFonts w:ascii="Times New Roman" w:hAnsi="Times New Roman" w:cs="Times New Roman"/>
          <w:sz w:val="24"/>
          <w:szCs w:val="24"/>
        </w:rPr>
        <w:t>apadék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mennyiségét lényegesen nem befolyásolta, ami a korábbi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nettósítási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módszer alkalmazhatóságát támasztja alá.</w:t>
      </w:r>
      <w:r w:rsidR="005B4DA1">
        <w:rPr>
          <w:rFonts w:ascii="Times New Roman" w:hAnsi="Times New Roman" w:cs="Times New Roman"/>
          <w:sz w:val="24"/>
          <w:szCs w:val="24"/>
        </w:rPr>
        <w:t xml:space="preserve"> Figyelembe </w:t>
      </w:r>
      <w:r w:rsidR="005B4DA1">
        <w:rPr>
          <w:rFonts w:ascii="Times New Roman" w:hAnsi="Times New Roman" w:cs="Times New Roman"/>
          <w:sz w:val="24"/>
          <w:szCs w:val="24"/>
        </w:rPr>
        <w:lastRenderedPageBreak/>
        <w:t xml:space="preserve">kell ugyanakkor venni a magánszektorra vonatkozó adatok nagyfokú bizonytalanságát, ami az alacsony válaszadási </w:t>
      </w:r>
      <w:proofErr w:type="gramStart"/>
      <w:r w:rsidR="005B4DA1">
        <w:rPr>
          <w:rFonts w:ascii="Times New Roman" w:hAnsi="Times New Roman" w:cs="Times New Roman"/>
          <w:sz w:val="24"/>
          <w:szCs w:val="24"/>
        </w:rPr>
        <w:t>hajlandóság</w:t>
      </w:r>
      <w:proofErr w:type="gramEnd"/>
      <w:r w:rsidR="005B4DA1">
        <w:rPr>
          <w:rFonts w:ascii="Times New Roman" w:hAnsi="Times New Roman" w:cs="Times New Roman"/>
          <w:sz w:val="24"/>
          <w:szCs w:val="24"/>
        </w:rPr>
        <w:t xml:space="preserve"> ill. a nullás adatszolgáltatások nagy száma miatti kis mintanagyságra vezethető vissza (részleteket lásd a tárgyévi </w:t>
      </w:r>
      <w:hyperlink r:id="rId10" w:history="1">
        <w:r w:rsidR="005B4DA1" w:rsidRPr="005B4DA1">
          <w:rPr>
            <w:rStyle w:val="Hiperhivatkozs"/>
            <w:rFonts w:ascii="Times New Roman" w:hAnsi="Times New Roman" w:cs="Times New Roman"/>
            <w:sz w:val="24"/>
            <w:szCs w:val="24"/>
          </w:rPr>
          <w:t>minőségjelentésben</w:t>
        </w:r>
      </w:hyperlink>
      <w:r w:rsidR="005B4DA1">
        <w:rPr>
          <w:rFonts w:ascii="Times New Roman" w:hAnsi="Times New Roman" w:cs="Times New Roman"/>
          <w:sz w:val="24"/>
          <w:szCs w:val="24"/>
        </w:rPr>
        <w:t>, ill.</w:t>
      </w:r>
      <w:r w:rsidR="008D6681">
        <w:rPr>
          <w:rFonts w:ascii="Times New Roman" w:hAnsi="Times New Roman" w:cs="Times New Roman"/>
          <w:sz w:val="24"/>
          <w:szCs w:val="24"/>
        </w:rPr>
        <w:t xml:space="preserve"> az ebben a dokumentumban közölt ábrákon</w:t>
      </w:r>
      <w:r w:rsidR="005B4DA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75726" w:rsidRPr="003174CE" w:rsidRDefault="00C75726" w:rsidP="00413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CFF" w:rsidRDefault="00074C1E" w:rsidP="00A74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C1CEB14" wp14:editId="16F5A64A">
            <wp:extent cx="3600000" cy="2660400"/>
            <wp:effectExtent l="0" t="0" r="635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Ref83209982"/>
    <w:p w:rsidR="00A74957" w:rsidRPr="00AA41B2" w:rsidRDefault="006C4F42" w:rsidP="006C4F42">
      <w:pPr>
        <w:pStyle w:val="Kpalrs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AA41B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AA41B2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ábra \* ARABIC </w:instrText>
      </w:r>
      <w:r w:rsidRPr="00AA41B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="008233E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</w:t>
      </w:r>
      <w:r w:rsidRPr="00AA41B2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AA41B2">
        <w:rPr>
          <w:rFonts w:ascii="Times New Roman" w:hAnsi="Times New Roman" w:cs="Times New Roman"/>
          <w:b w:val="0"/>
          <w:color w:val="auto"/>
          <w:sz w:val="20"/>
          <w:szCs w:val="20"/>
        </w:rPr>
        <w:t>. ábra</w:t>
      </w:r>
      <w:bookmarkEnd w:id="0"/>
      <w:r w:rsidRPr="00AA41B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Nettó fakitermelés </w:t>
      </w:r>
      <w:r w:rsidR="00542D14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fajonként és </w:t>
      </w:r>
      <w:r w:rsidRPr="00AA41B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szektoronként. Az állami szektorok esetében (Erdőgazdaságok, Nemzeti Parkok, Vízügyi szervek) a mintavételezés teljes körű, így mintavételi hiba nem lép fel. A magánszektor mintavételi hibáját a 95 </w:t>
      </w:r>
      <w:proofErr w:type="spellStart"/>
      <w:r w:rsidRPr="00AA41B2">
        <w:rPr>
          <w:rFonts w:ascii="Times New Roman" w:hAnsi="Times New Roman" w:cs="Times New Roman"/>
          <w:b w:val="0"/>
          <w:color w:val="auto"/>
          <w:sz w:val="20"/>
          <w:szCs w:val="20"/>
        </w:rPr>
        <w:t>%-is</w:t>
      </w:r>
      <w:proofErr w:type="spellEnd"/>
      <w:r w:rsidRPr="00AA41B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megbízhatósági szintű konfidencia intervallum jelzi.</w:t>
      </w:r>
    </w:p>
    <w:p w:rsidR="00FB14C2" w:rsidRDefault="00FB14C2" w:rsidP="00DF5B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6AE" w:rsidRDefault="00AE62E3" w:rsidP="00417F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nettó fakitermelés választékszerkezete szektoronként</w:t>
      </w:r>
    </w:p>
    <w:p w:rsidR="00C75726" w:rsidRDefault="00C75726" w:rsidP="00C7572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5726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C75726">
        <w:rPr>
          <w:rFonts w:ascii="Times New Roman" w:hAnsi="Times New Roman" w:cs="Times New Roman"/>
          <w:sz w:val="24"/>
          <w:szCs w:val="24"/>
        </w:rPr>
        <w:t>iparifa</w:t>
      </w:r>
      <w:proofErr w:type="spellEnd"/>
      <w:r w:rsidRPr="00C75726">
        <w:rPr>
          <w:rFonts w:ascii="Times New Roman" w:hAnsi="Times New Roman" w:cs="Times New Roman"/>
          <w:sz w:val="24"/>
          <w:szCs w:val="24"/>
        </w:rPr>
        <w:t xml:space="preserve"> nettó térfogata 2,5 millió m³, a tűzifáé 3,1 millió m³ volt</w:t>
      </w:r>
      <w:r w:rsidR="00F4336F">
        <w:rPr>
          <w:rFonts w:ascii="Times New Roman" w:hAnsi="Times New Roman" w:cs="Times New Roman"/>
          <w:sz w:val="24"/>
          <w:szCs w:val="24"/>
        </w:rPr>
        <w:t xml:space="preserve"> (</w:t>
      </w:r>
      <w:r w:rsidR="00F4336F" w:rsidRPr="00F4336F">
        <w:rPr>
          <w:rFonts w:ascii="Times New Roman" w:hAnsi="Times New Roman" w:cs="Times New Roman"/>
          <w:sz w:val="24"/>
          <w:szCs w:val="24"/>
        </w:rPr>
        <w:fldChar w:fldCharType="begin"/>
      </w:r>
      <w:r w:rsidR="00F4336F" w:rsidRPr="00F4336F">
        <w:rPr>
          <w:rFonts w:ascii="Times New Roman" w:hAnsi="Times New Roman" w:cs="Times New Roman"/>
          <w:sz w:val="24"/>
          <w:szCs w:val="24"/>
        </w:rPr>
        <w:instrText xml:space="preserve"> REF _Ref83213089 \h  \* MERGEFORMAT </w:instrText>
      </w:r>
      <w:r w:rsidR="00F4336F" w:rsidRPr="00F4336F">
        <w:rPr>
          <w:rFonts w:ascii="Times New Roman" w:hAnsi="Times New Roman" w:cs="Times New Roman"/>
          <w:sz w:val="24"/>
          <w:szCs w:val="24"/>
        </w:rPr>
      </w:r>
      <w:r w:rsidR="00F4336F" w:rsidRPr="00F4336F">
        <w:rPr>
          <w:rFonts w:ascii="Times New Roman" w:hAnsi="Times New Roman" w:cs="Times New Roman"/>
          <w:sz w:val="24"/>
          <w:szCs w:val="24"/>
        </w:rPr>
        <w:fldChar w:fldCharType="separate"/>
      </w:r>
      <w:r w:rsidR="00F4336F" w:rsidRPr="00F4336F">
        <w:rPr>
          <w:rFonts w:ascii="Times New Roman" w:hAnsi="Times New Roman" w:cs="Times New Roman"/>
          <w:noProof/>
          <w:sz w:val="24"/>
          <w:szCs w:val="24"/>
        </w:rPr>
        <w:t>2. ábra</w:t>
      </w:r>
      <w:r w:rsidR="00F4336F" w:rsidRPr="00F4336F">
        <w:rPr>
          <w:rFonts w:ascii="Times New Roman" w:hAnsi="Times New Roman" w:cs="Times New Roman"/>
          <w:sz w:val="24"/>
          <w:szCs w:val="24"/>
        </w:rPr>
        <w:fldChar w:fldCharType="end"/>
      </w:r>
      <w:r w:rsidR="00F4336F" w:rsidRPr="00F4336F">
        <w:rPr>
          <w:rFonts w:ascii="Times New Roman" w:hAnsi="Times New Roman" w:cs="Times New Roman"/>
          <w:sz w:val="24"/>
          <w:szCs w:val="24"/>
        </w:rPr>
        <w:t xml:space="preserve">, </w:t>
      </w:r>
      <w:r w:rsidR="00F4336F" w:rsidRPr="00F4336F">
        <w:rPr>
          <w:rFonts w:ascii="Times New Roman" w:hAnsi="Times New Roman" w:cs="Times New Roman"/>
          <w:sz w:val="24"/>
          <w:szCs w:val="24"/>
        </w:rPr>
        <w:fldChar w:fldCharType="begin"/>
      </w:r>
      <w:r w:rsidR="00F4336F" w:rsidRPr="00F4336F">
        <w:rPr>
          <w:rFonts w:ascii="Times New Roman" w:hAnsi="Times New Roman" w:cs="Times New Roman"/>
          <w:sz w:val="24"/>
          <w:szCs w:val="24"/>
        </w:rPr>
        <w:instrText xml:space="preserve"> REF _Ref83213093 \h  \* MERGEFORMAT </w:instrText>
      </w:r>
      <w:r w:rsidR="00F4336F" w:rsidRPr="00F4336F">
        <w:rPr>
          <w:rFonts w:ascii="Times New Roman" w:hAnsi="Times New Roman" w:cs="Times New Roman"/>
          <w:sz w:val="24"/>
          <w:szCs w:val="24"/>
        </w:rPr>
      </w:r>
      <w:r w:rsidR="00F4336F" w:rsidRPr="00F4336F">
        <w:rPr>
          <w:rFonts w:ascii="Times New Roman" w:hAnsi="Times New Roman" w:cs="Times New Roman"/>
          <w:sz w:val="24"/>
          <w:szCs w:val="24"/>
        </w:rPr>
        <w:fldChar w:fldCharType="separate"/>
      </w:r>
      <w:r w:rsidR="00F4336F" w:rsidRPr="00F4336F">
        <w:rPr>
          <w:rFonts w:ascii="Times New Roman" w:hAnsi="Times New Roman" w:cs="Times New Roman"/>
          <w:noProof/>
          <w:sz w:val="24"/>
          <w:szCs w:val="24"/>
        </w:rPr>
        <w:t>3. ábra</w:t>
      </w:r>
      <w:r w:rsidR="00F4336F" w:rsidRPr="00F4336F">
        <w:rPr>
          <w:rFonts w:ascii="Times New Roman" w:hAnsi="Times New Roman" w:cs="Times New Roman"/>
          <w:sz w:val="24"/>
          <w:szCs w:val="24"/>
        </w:rPr>
        <w:fldChar w:fldCharType="end"/>
      </w:r>
      <w:r w:rsidR="00F4336F">
        <w:rPr>
          <w:rFonts w:ascii="Times New Roman" w:hAnsi="Times New Roman" w:cs="Times New Roman"/>
          <w:sz w:val="24"/>
          <w:szCs w:val="24"/>
        </w:rPr>
        <w:t>)</w:t>
      </w:r>
      <w:r w:rsidRPr="00C75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726" w:rsidRPr="00C75726" w:rsidRDefault="0073040B" w:rsidP="00C7572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5CA2487" wp14:editId="172E460E">
            <wp:extent cx="3600000" cy="2660400"/>
            <wp:effectExtent l="0" t="0" r="635" b="698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83213089"/>
    <w:p w:rsidR="00C75726" w:rsidRPr="00AA41B2" w:rsidRDefault="00C75726" w:rsidP="00C75726">
      <w:pPr>
        <w:pStyle w:val="Kpalrs"/>
        <w:ind w:left="720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SEQ ábra \* ARABIC </w:instrTex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="008233E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2</w: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. ábra</w:t>
      </w:r>
      <w:bookmarkEnd w:id="1"/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Az iparifa nettó fatérfogata szektor</w:t>
      </w:r>
      <w:r w:rsidR="00A72C16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o</w: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nként. További magyarázat az </w: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REF _Ref83209982 \h  \* MERGEFORMAT </w:instrTex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1. ábra</w: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alatt.</w:t>
      </w:r>
    </w:p>
    <w:p w:rsidR="00C75726" w:rsidRPr="00C75726" w:rsidRDefault="00C75726" w:rsidP="00C7572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24F25B23" wp14:editId="009F12BA">
            <wp:extent cx="3600000" cy="2628000"/>
            <wp:effectExtent l="0" t="0" r="635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Ref83213093"/>
    <w:p w:rsidR="00C75726" w:rsidRPr="00AA41B2" w:rsidRDefault="00C75726" w:rsidP="00C75726">
      <w:pPr>
        <w:pStyle w:val="Kpalrs"/>
        <w:ind w:left="720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SEQ ábra \* ARABIC </w:instrTex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="008233E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3</w: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. ábra</w:t>
      </w:r>
      <w:bookmarkEnd w:id="2"/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A tűzifa nettó fatérfogata szektoronként. További magyarázat az </w: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REF _Ref83209982 \h  \* MERGEFORMAT </w:instrTex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1. ábra</w: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alatt.</w:t>
      </w:r>
    </w:p>
    <w:p w:rsidR="00F4336F" w:rsidRDefault="00F4336F" w:rsidP="00C96BB8">
      <w:pPr>
        <w:rPr>
          <w:rFonts w:ascii="Times New Roman" w:hAnsi="Times New Roman" w:cs="Times New Roman"/>
          <w:sz w:val="24"/>
          <w:szCs w:val="24"/>
        </w:rPr>
      </w:pPr>
    </w:p>
    <w:p w:rsidR="00C96BB8" w:rsidRPr="006827F7" w:rsidRDefault="006827F7" w:rsidP="00F43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keményfák többsége tűzifaként hasznosul minden szektor esetében, míg a lágy lombos fajok és a fenyők esetében a tűzifa arány jóval kisebb</w:t>
      </w:r>
      <w:r w:rsidR="00F4336F">
        <w:rPr>
          <w:rFonts w:ascii="Times New Roman" w:hAnsi="Times New Roman" w:cs="Times New Roman"/>
          <w:sz w:val="24"/>
          <w:szCs w:val="24"/>
        </w:rPr>
        <w:t xml:space="preserve"> (</w:t>
      </w:r>
      <w:r w:rsidR="00F4336F" w:rsidRPr="00F4336F">
        <w:rPr>
          <w:rFonts w:ascii="Times New Roman" w:hAnsi="Times New Roman" w:cs="Times New Roman"/>
          <w:sz w:val="24"/>
          <w:szCs w:val="24"/>
        </w:rPr>
        <w:fldChar w:fldCharType="begin"/>
      </w:r>
      <w:r w:rsidR="00F4336F" w:rsidRPr="00F4336F">
        <w:rPr>
          <w:rFonts w:ascii="Times New Roman" w:hAnsi="Times New Roman" w:cs="Times New Roman"/>
          <w:sz w:val="24"/>
          <w:szCs w:val="24"/>
        </w:rPr>
        <w:instrText xml:space="preserve"> REF _Ref83213155 \h  \* MERGEFORMAT </w:instrText>
      </w:r>
      <w:r w:rsidR="00F4336F" w:rsidRPr="00F4336F">
        <w:rPr>
          <w:rFonts w:ascii="Times New Roman" w:hAnsi="Times New Roman" w:cs="Times New Roman"/>
          <w:sz w:val="24"/>
          <w:szCs w:val="24"/>
        </w:rPr>
      </w:r>
      <w:r w:rsidR="00F4336F" w:rsidRPr="00F4336F">
        <w:rPr>
          <w:rFonts w:ascii="Times New Roman" w:hAnsi="Times New Roman" w:cs="Times New Roman"/>
          <w:sz w:val="24"/>
          <w:szCs w:val="24"/>
        </w:rPr>
        <w:fldChar w:fldCharType="separate"/>
      </w:r>
      <w:r w:rsidR="00F4336F" w:rsidRPr="00F4336F">
        <w:rPr>
          <w:rFonts w:ascii="Times New Roman" w:hAnsi="Times New Roman" w:cs="Times New Roman"/>
          <w:noProof/>
          <w:sz w:val="24"/>
          <w:szCs w:val="24"/>
        </w:rPr>
        <w:t>4. ábra</w:t>
      </w:r>
      <w:r w:rsidR="00F4336F" w:rsidRPr="00F4336F">
        <w:rPr>
          <w:rFonts w:ascii="Times New Roman" w:hAnsi="Times New Roman" w:cs="Times New Roman"/>
          <w:sz w:val="24"/>
          <w:szCs w:val="24"/>
        </w:rPr>
        <w:fldChar w:fldCharType="end"/>
      </w:r>
      <w:r w:rsidR="00F433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C1E" w:rsidRDefault="0073040B" w:rsidP="00236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A03D2AD" wp14:editId="2FBC9033">
            <wp:extent cx="3600000" cy="2660400"/>
            <wp:effectExtent l="0" t="0" r="635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" w:name="_Ref83213155"/>
    <w:p w:rsidR="00FB14C2" w:rsidRPr="00AA41B2" w:rsidRDefault="00FB14C2" w:rsidP="00FB14C2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SEQ ábra \* ARABIC </w:instrTex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="008233E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4</w: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. ábra</w:t>
      </w:r>
      <w:bookmarkEnd w:id="3"/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Tűzifa arány szektoronként. További magyarázat az </w: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REF _Ref83209982 \h  \* MERGEFORMAT </w:instrTex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1. ábra</w: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alatt.</w:t>
      </w:r>
    </w:p>
    <w:p w:rsidR="005073AD" w:rsidRDefault="005073AD" w:rsidP="00682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7F7" w:rsidRDefault="00EB510D" w:rsidP="006827F7">
      <w:pPr>
        <w:jc w:val="both"/>
        <w:rPr>
          <w:rFonts w:ascii="Times New Roman" w:hAnsi="Times New Roman" w:cs="Times New Roman"/>
          <w:sz w:val="24"/>
          <w:szCs w:val="24"/>
        </w:rPr>
      </w:pPr>
      <w:r w:rsidRPr="00EB510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iparifa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választékok közül a korábbi évekhez hasonlóan a fűrészipari rönk termelés aránya a legmagasabb, a 2020-ra becsült mennyisége 908 ezer m³. </w:t>
      </w:r>
      <w:r w:rsidR="00F4336F">
        <w:rPr>
          <w:rFonts w:ascii="Times New Roman" w:hAnsi="Times New Roman" w:cs="Times New Roman"/>
          <w:sz w:val="24"/>
          <w:szCs w:val="24"/>
        </w:rPr>
        <w:t>Fűrészipari rönk főként nemes nyárból készül (</w:t>
      </w:r>
      <w:r w:rsidR="00F4336F" w:rsidRPr="00F4336F">
        <w:rPr>
          <w:rFonts w:ascii="Times New Roman" w:hAnsi="Times New Roman" w:cs="Times New Roman"/>
          <w:sz w:val="24"/>
          <w:szCs w:val="24"/>
        </w:rPr>
        <w:fldChar w:fldCharType="begin"/>
      </w:r>
      <w:r w:rsidR="00F4336F" w:rsidRPr="00F4336F">
        <w:rPr>
          <w:rFonts w:ascii="Times New Roman" w:hAnsi="Times New Roman" w:cs="Times New Roman"/>
          <w:sz w:val="24"/>
          <w:szCs w:val="24"/>
        </w:rPr>
        <w:instrText xml:space="preserve"> REF _Ref83213333 \h  \* MERGEFORMAT </w:instrText>
      </w:r>
      <w:r w:rsidR="00F4336F" w:rsidRPr="00F4336F">
        <w:rPr>
          <w:rFonts w:ascii="Times New Roman" w:hAnsi="Times New Roman" w:cs="Times New Roman"/>
          <w:sz w:val="24"/>
          <w:szCs w:val="24"/>
        </w:rPr>
      </w:r>
      <w:r w:rsidR="00F4336F" w:rsidRPr="00F4336F">
        <w:rPr>
          <w:rFonts w:ascii="Times New Roman" w:hAnsi="Times New Roman" w:cs="Times New Roman"/>
          <w:sz w:val="24"/>
          <w:szCs w:val="24"/>
        </w:rPr>
        <w:fldChar w:fldCharType="separate"/>
      </w:r>
      <w:r w:rsidR="00F4336F" w:rsidRPr="00F4336F">
        <w:rPr>
          <w:rFonts w:ascii="Times New Roman" w:hAnsi="Times New Roman" w:cs="Times New Roman"/>
          <w:noProof/>
          <w:sz w:val="24"/>
          <w:szCs w:val="24"/>
        </w:rPr>
        <w:t>5. ábra</w:t>
      </w:r>
      <w:r w:rsidR="00F4336F" w:rsidRPr="00F4336F">
        <w:rPr>
          <w:rFonts w:ascii="Times New Roman" w:hAnsi="Times New Roman" w:cs="Times New Roman"/>
          <w:sz w:val="24"/>
          <w:szCs w:val="24"/>
        </w:rPr>
        <w:fldChar w:fldCharType="end"/>
      </w:r>
      <w:r w:rsidR="00F4336F">
        <w:rPr>
          <w:rFonts w:ascii="Times New Roman" w:hAnsi="Times New Roman" w:cs="Times New Roman"/>
          <w:sz w:val="24"/>
          <w:szCs w:val="24"/>
        </w:rPr>
        <w:t>).</w:t>
      </w:r>
    </w:p>
    <w:p w:rsidR="00EB510D" w:rsidRDefault="004740F9" w:rsidP="00B41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70F4B84D" wp14:editId="4D066C07">
            <wp:extent cx="3600000" cy="2660400"/>
            <wp:effectExtent l="0" t="0" r="635" b="698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4" w:name="_Ref83213333"/>
    <w:p w:rsidR="005073AD" w:rsidRDefault="005073AD" w:rsidP="005073AD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SEQ ábra \* ARABIC </w:instrTex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="008233E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5</w: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. ábra</w:t>
      </w:r>
      <w:bookmarkEnd w:id="4"/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A fűrészrönk aránya szektoronként. További magyarázat az </w: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REF _Ref83209982 \h  \* MERGEFORMAT </w:instrTex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1. ábra</w:t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AA41B2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alatt.</w:t>
      </w:r>
    </w:p>
    <w:p w:rsidR="00F77EE4" w:rsidRDefault="00F77EE4" w:rsidP="00F77EE4"/>
    <w:p w:rsidR="00F77EE4" w:rsidRDefault="00F77EE4" w:rsidP="00F77E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állami erdőgazdaságok nettó fakitermelésének változása</w:t>
      </w:r>
    </w:p>
    <w:p w:rsidR="00F77EE4" w:rsidRPr="00AA704A" w:rsidRDefault="00AA704A" w:rsidP="00AA704A">
      <w:pPr>
        <w:jc w:val="both"/>
        <w:rPr>
          <w:rFonts w:ascii="Times New Roman" w:hAnsi="Times New Roman" w:cs="Times New Roman"/>
          <w:sz w:val="24"/>
          <w:szCs w:val="24"/>
        </w:rPr>
      </w:pPr>
      <w:r w:rsidRPr="00AA704A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állami erdőgazdaságok nettó fakitermelése tavalyhoz képest 3,8 millió m³</w:t>
      </w:r>
      <w:proofErr w:type="spellStart"/>
      <w:r>
        <w:rPr>
          <w:rFonts w:ascii="Times New Roman" w:hAnsi="Times New Roman" w:cs="Times New Roman"/>
          <w:sz w:val="24"/>
          <w:szCs w:val="24"/>
        </w:rPr>
        <w:t>-ról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3,5 millió m³</w:t>
      </w:r>
      <w:proofErr w:type="spellStart"/>
      <w:r>
        <w:rPr>
          <w:rFonts w:ascii="Times New Roman" w:hAnsi="Times New Roman" w:cs="Times New Roman"/>
          <w:sz w:val="24"/>
          <w:szCs w:val="24"/>
        </w:rPr>
        <w:t>-re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csökkent (</w:t>
      </w:r>
      <w:r w:rsidR="00865023">
        <w:rPr>
          <w:rFonts w:ascii="Times New Roman" w:hAnsi="Times New Roman" w:cs="Times New Roman"/>
          <w:sz w:val="24"/>
          <w:szCs w:val="24"/>
        </w:rPr>
        <w:fldChar w:fldCharType="begin"/>
      </w:r>
      <w:r w:rsidR="00865023">
        <w:rPr>
          <w:rFonts w:ascii="Times New Roman" w:hAnsi="Times New Roman" w:cs="Times New Roman"/>
          <w:sz w:val="24"/>
          <w:szCs w:val="24"/>
        </w:rPr>
        <w:instrText xml:space="preserve"> REF _Ref83898094 \h  \* MERGEFORMAT </w:instrText>
      </w:r>
      <w:r w:rsidR="00865023">
        <w:rPr>
          <w:rFonts w:ascii="Times New Roman" w:hAnsi="Times New Roman" w:cs="Times New Roman"/>
          <w:sz w:val="24"/>
          <w:szCs w:val="24"/>
        </w:rPr>
      </w:r>
      <w:r w:rsidR="00865023">
        <w:rPr>
          <w:rFonts w:ascii="Times New Roman" w:hAnsi="Times New Roman" w:cs="Times New Roman"/>
          <w:sz w:val="24"/>
          <w:szCs w:val="24"/>
        </w:rPr>
        <w:fldChar w:fldCharType="separate"/>
      </w:r>
      <w:r w:rsidR="00865023" w:rsidRPr="00865023">
        <w:rPr>
          <w:rFonts w:ascii="Times New Roman" w:hAnsi="Times New Roman" w:cs="Times New Roman"/>
          <w:sz w:val="24"/>
          <w:szCs w:val="24"/>
        </w:rPr>
        <w:t>6. ábra</w:t>
      </w:r>
      <w:r w:rsidR="0086502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  <w:r w:rsidR="008650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0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65023">
        <w:rPr>
          <w:rFonts w:ascii="Times New Roman" w:hAnsi="Times New Roman" w:cs="Times New Roman"/>
          <w:sz w:val="24"/>
          <w:szCs w:val="24"/>
        </w:rPr>
        <w:t xml:space="preserve"> tűzifa aránya </w:t>
      </w:r>
      <w:r w:rsidR="00AB5AA5">
        <w:rPr>
          <w:rFonts w:ascii="Times New Roman" w:hAnsi="Times New Roman" w:cs="Times New Roman"/>
          <w:sz w:val="24"/>
          <w:szCs w:val="24"/>
        </w:rPr>
        <w:t xml:space="preserve">a </w:t>
      </w:r>
      <w:r w:rsidR="00865023">
        <w:rPr>
          <w:rFonts w:ascii="Times New Roman" w:hAnsi="Times New Roman" w:cs="Times New Roman"/>
          <w:sz w:val="24"/>
          <w:szCs w:val="24"/>
        </w:rPr>
        <w:t xml:space="preserve">tölgy és </w:t>
      </w:r>
      <w:r w:rsidR="00AB5AA5">
        <w:rPr>
          <w:rFonts w:ascii="Times New Roman" w:hAnsi="Times New Roman" w:cs="Times New Roman"/>
          <w:sz w:val="24"/>
          <w:szCs w:val="24"/>
        </w:rPr>
        <w:t xml:space="preserve">a </w:t>
      </w:r>
      <w:r w:rsidR="00865023">
        <w:rPr>
          <w:rFonts w:ascii="Times New Roman" w:hAnsi="Times New Roman" w:cs="Times New Roman"/>
          <w:sz w:val="24"/>
          <w:szCs w:val="24"/>
        </w:rPr>
        <w:t>gyertyán esetében kismértékben emelkedett (</w:t>
      </w:r>
      <w:r w:rsidR="00865023">
        <w:rPr>
          <w:rFonts w:ascii="Times New Roman" w:hAnsi="Times New Roman" w:cs="Times New Roman"/>
          <w:sz w:val="24"/>
          <w:szCs w:val="24"/>
        </w:rPr>
        <w:fldChar w:fldCharType="begin"/>
      </w:r>
      <w:r w:rsidR="00865023">
        <w:rPr>
          <w:rFonts w:ascii="Times New Roman" w:hAnsi="Times New Roman" w:cs="Times New Roman"/>
          <w:sz w:val="24"/>
          <w:szCs w:val="24"/>
        </w:rPr>
        <w:instrText xml:space="preserve"> REF _Ref83898515 \h  \* MERGEFORMAT </w:instrText>
      </w:r>
      <w:r w:rsidR="00865023">
        <w:rPr>
          <w:rFonts w:ascii="Times New Roman" w:hAnsi="Times New Roman" w:cs="Times New Roman"/>
          <w:sz w:val="24"/>
          <w:szCs w:val="24"/>
        </w:rPr>
      </w:r>
      <w:r w:rsidR="00865023">
        <w:rPr>
          <w:rFonts w:ascii="Times New Roman" w:hAnsi="Times New Roman" w:cs="Times New Roman"/>
          <w:sz w:val="24"/>
          <w:szCs w:val="24"/>
        </w:rPr>
        <w:fldChar w:fldCharType="separate"/>
      </w:r>
      <w:r w:rsidR="00865023" w:rsidRPr="00865023">
        <w:rPr>
          <w:rFonts w:ascii="Times New Roman" w:hAnsi="Times New Roman" w:cs="Times New Roman"/>
          <w:sz w:val="24"/>
          <w:szCs w:val="24"/>
        </w:rPr>
        <w:t>7. ábra</w:t>
      </w:r>
      <w:r w:rsidR="00865023">
        <w:rPr>
          <w:rFonts w:ascii="Times New Roman" w:hAnsi="Times New Roman" w:cs="Times New Roman"/>
          <w:sz w:val="24"/>
          <w:szCs w:val="24"/>
        </w:rPr>
        <w:fldChar w:fldCharType="end"/>
      </w:r>
      <w:r w:rsidR="00865023">
        <w:rPr>
          <w:rFonts w:ascii="Times New Roman" w:hAnsi="Times New Roman" w:cs="Times New Roman"/>
          <w:sz w:val="24"/>
          <w:szCs w:val="24"/>
        </w:rPr>
        <w:t>)</w:t>
      </w:r>
      <w:r w:rsidR="008233E0">
        <w:rPr>
          <w:rFonts w:ascii="Times New Roman" w:hAnsi="Times New Roman" w:cs="Times New Roman"/>
          <w:sz w:val="24"/>
          <w:szCs w:val="24"/>
        </w:rPr>
        <w:t>, a rönk arányok lényegében változatlanok maradtak</w:t>
      </w:r>
      <w:r w:rsidR="00535B3F">
        <w:rPr>
          <w:rFonts w:ascii="Times New Roman" w:hAnsi="Times New Roman" w:cs="Times New Roman"/>
          <w:sz w:val="24"/>
          <w:szCs w:val="24"/>
        </w:rPr>
        <w:t xml:space="preserve"> (</w:t>
      </w:r>
      <w:r w:rsidR="00535B3F">
        <w:rPr>
          <w:rFonts w:ascii="Times New Roman" w:hAnsi="Times New Roman" w:cs="Times New Roman"/>
          <w:sz w:val="24"/>
          <w:szCs w:val="24"/>
        </w:rPr>
        <w:fldChar w:fldCharType="begin"/>
      </w:r>
      <w:r w:rsidR="00535B3F">
        <w:rPr>
          <w:rFonts w:ascii="Times New Roman" w:hAnsi="Times New Roman" w:cs="Times New Roman"/>
          <w:sz w:val="24"/>
          <w:szCs w:val="24"/>
        </w:rPr>
        <w:instrText xml:space="preserve"> REF _Ref83898724 \h  \* MERGEFORMAT </w:instrText>
      </w:r>
      <w:r w:rsidR="00535B3F">
        <w:rPr>
          <w:rFonts w:ascii="Times New Roman" w:hAnsi="Times New Roman" w:cs="Times New Roman"/>
          <w:sz w:val="24"/>
          <w:szCs w:val="24"/>
        </w:rPr>
      </w:r>
      <w:r w:rsidR="00535B3F">
        <w:rPr>
          <w:rFonts w:ascii="Times New Roman" w:hAnsi="Times New Roman" w:cs="Times New Roman"/>
          <w:sz w:val="24"/>
          <w:szCs w:val="24"/>
        </w:rPr>
        <w:fldChar w:fldCharType="separate"/>
      </w:r>
      <w:r w:rsidR="00535B3F" w:rsidRPr="00535B3F">
        <w:rPr>
          <w:rFonts w:ascii="Times New Roman" w:hAnsi="Times New Roman" w:cs="Times New Roman"/>
          <w:sz w:val="24"/>
          <w:szCs w:val="24"/>
        </w:rPr>
        <w:t>8. ábra</w:t>
      </w:r>
      <w:r w:rsidR="00535B3F">
        <w:rPr>
          <w:rFonts w:ascii="Times New Roman" w:hAnsi="Times New Roman" w:cs="Times New Roman"/>
          <w:sz w:val="24"/>
          <w:szCs w:val="24"/>
        </w:rPr>
        <w:fldChar w:fldCharType="end"/>
      </w:r>
      <w:r w:rsidR="00535B3F">
        <w:rPr>
          <w:rFonts w:ascii="Times New Roman" w:hAnsi="Times New Roman" w:cs="Times New Roman"/>
          <w:sz w:val="24"/>
          <w:szCs w:val="24"/>
        </w:rPr>
        <w:t>)</w:t>
      </w:r>
      <w:r w:rsidR="008233E0">
        <w:rPr>
          <w:rFonts w:ascii="Times New Roman" w:hAnsi="Times New Roman" w:cs="Times New Roman"/>
          <w:sz w:val="24"/>
          <w:szCs w:val="24"/>
        </w:rPr>
        <w:t>.</w:t>
      </w:r>
    </w:p>
    <w:p w:rsidR="00070983" w:rsidRDefault="00070983" w:rsidP="00070983">
      <w:pPr>
        <w:jc w:val="center"/>
      </w:pPr>
      <w:r>
        <w:rPr>
          <w:noProof/>
          <w:lang w:eastAsia="hu-HU"/>
        </w:rPr>
        <w:drawing>
          <wp:inline distT="0" distB="0" distL="0" distR="0" wp14:anchorId="3C3F20B8" wp14:editId="5CD711B4">
            <wp:extent cx="3600000" cy="2656800"/>
            <wp:effectExtent l="0" t="0" r="63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Ref83898094"/>
    <w:p w:rsidR="00070983" w:rsidRDefault="00070983" w:rsidP="00070983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07098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07098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SEQ ábra \* ARABIC </w:instrText>
      </w:r>
      <w:r w:rsidRPr="0007098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="008233E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6</w:t>
      </w:r>
      <w:r w:rsidRPr="0007098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07098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. ábra</w:t>
      </w:r>
      <w:bookmarkEnd w:id="5"/>
      <w:r w:rsidRPr="0007098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Az állami erdőgazdaságok nettó fakitermelése </w:t>
      </w:r>
      <w:r w:rsidR="00AA704A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fafajcsoportonként </w:t>
      </w:r>
      <w:r w:rsidRPr="0007098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2019-ben és 2020-ban.</w:t>
      </w:r>
    </w:p>
    <w:p w:rsidR="00070983" w:rsidRDefault="00865023" w:rsidP="00865023">
      <w:pPr>
        <w:jc w:val="center"/>
      </w:pPr>
      <w:r>
        <w:rPr>
          <w:noProof/>
          <w:lang w:eastAsia="hu-HU"/>
        </w:rPr>
        <w:lastRenderedPageBreak/>
        <w:drawing>
          <wp:inline distT="0" distB="0" distL="0" distR="0" wp14:anchorId="41CEFE95" wp14:editId="3D096BF3">
            <wp:extent cx="3600000" cy="2656800"/>
            <wp:effectExtent l="0" t="0" r="63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6" w:name="_Ref83898515"/>
    <w:p w:rsidR="00865023" w:rsidRDefault="00865023" w:rsidP="00865023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86502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86502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SEQ ábra \* ARABIC </w:instrText>
      </w:r>
      <w:r w:rsidRPr="0086502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="008233E0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7</w:t>
      </w:r>
      <w:r w:rsidRPr="0086502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86502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. ábra</w:t>
      </w:r>
      <w:bookmarkEnd w:id="6"/>
      <w:r w:rsidRPr="0086502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Fafajcsoportonkénti tűzifaarány változ</w:t>
      </w:r>
      <w:r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ása az állami erdőgazdaságoknál.</w:t>
      </w:r>
    </w:p>
    <w:p w:rsidR="008233E0" w:rsidRDefault="008233E0" w:rsidP="008233E0"/>
    <w:p w:rsidR="008233E0" w:rsidRDefault="008233E0" w:rsidP="008233E0">
      <w:pPr>
        <w:jc w:val="center"/>
      </w:pPr>
      <w:r>
        <w:rPr>
          <w:noProof/>
          <w:lang w:eastAsia="hu-HU"/>
        </w:rPr>
        <w:drawing>
          <wp:inline distT="0" distB="0" distL="0" distR="0" wp14:anchorId="2D7F309B" wp14:editId="0378704C">
            <wp:extent cx="3600000" cy="2656800"/>
            <wp:effectExtent l="0" t="0" r="63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7" w:name="_Ref83898724"/>
    <w:p w:rsidR="008233E0" w:rsidRPr="00535B3F" w:rsidRDefault="008233E0" w:rsidP="00535B3F">
      <w:pPr>
        <w:pStyle w:val="Kpalrs"/>
        <w:jc w:val="center"/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</w:pPr>
      <w:r w:rsidRPr="00535B3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begin"/>
      </w:r>
      <w:r w:rsidRPr="00535B3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instrText xml:space="preserve"> SEQ ábra \* ARABIC </w:instrText>
      </w:r>
      <w:r w:rsidRPr="00535B3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separate"/>
      </w:r>
      <w:r w:rsidRPr="00535B3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8</w:t>
      </w:r>
      <w:r w:rsidRPr="00535B3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fldChar w:fldCharType="end"/>
      </w:r>
      <w:r w:rsidRPr="00535B3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. ábra</w:t>
      </w:r>
      <w:bookmarkEnd w:id="7"/>
      <w:r w:rsidR="00535B3F" w:rsidRPr="00535B3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 </w:t>
      </w:r>
      <w:r w:rsidR="00535B3F" w:rsidRPr="0086502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 xml:space="preserve">Fafajcsoportonkénti </w:t>
      </w:r>
      <w:r w:rsidR="00AB5AA5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rönk</w:t>
      </w:r>
      <w:bookmarkStart w:id="8" w:name="_GoBack"/>
      <w:bookmarkEnd w:id="8"/>
      <w:r w:rsidR="00535B3F" w:rsidRPr="00865023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arány változ</w:t>
      </w:r>
      <w:r w:rsidR="00535B3F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ása az állami erdőgazdaságoknál.</w:t>
      </w:r>
    </w:p>
    <w:sectPr w:rsidR="008233E0" w:rsidRPr="00535B3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A5" w:rsidRDefault="00DC14A5" w:rsidP="003F7FC0">
      <w:pPr>
        <w:spacing w:after="0" w:line="240" w:lineRule="auto"/>
      </w:pPr>
      <w:r>
        <w:separator/>
      </w:r>
    </w:p>
  </w:endnote>
  <w:endnote w:type="continuationSeparator" w:id="0">
    <w:p w:rsidR="00DC14A5" w:rsidRDefault="00DC14A5" w:rsidP="003F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010025"/>
      <w:docPartObj>
        <w:docPartGallery w:val="Page Numbers (Bottom of Page)"/>
        <w:docPartUnique/>
      </w:docPartObj>
    </w:sdtPr>
    <w:sdtEndPr/>
    <w:sdtContent>
      <w:p w:rsidR="00B34410" w:rsidRDefault="00B3441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AA5">
          <w:rPr>
            <w:noProof/>
          </w:rPr>
          <w:t>4</w:t>
        </w:r>
        <w:r>
          <w:fldChar w:fldCharType="end"/>
        </w:r>
      </w:p>
    </w:sdtContent>
  </w:sdt>
  <w:p w:rsidR="00B34410" w:rsidRDefault="00B344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A5" w:rsidRDefault="00DC14A5" w:rsidP="003F7FC0">
      <w:pPr>
        <w:spacing w:after="0" w:line="240" w:lineRule="auto"/>
      </w:pPr>
      <w:r>
        <w:separator/>
      </w:r>
    </w:p>
  </w:footnote>
  <w:footnote w:type="continuationSeparator" w:id="0">
    <w:p w:rsidR="00DC14A5" w:rsidRDefault="00DC14A5" w:rsidP="003F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294"/>
    <w:multiLevelType w:val="hybridMultilevel"/>
    <w:tmpl w:val="D41263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02D29"/>
    <w:multiLevelType w:val="hybridMultilevel"/>
    <w:tmpl w:val="D412633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10"/>
    <w:rsid w:val="000122A0"/>
    <w:rsid w:val="000162B4"/>
    <w:rsid w:val="000665E6"/>
    <w:rsid w:val="00070983"/>
    <w:rsid w:val="00074C1E"/>
    <w:rsid w:val="00084AAA"/>
    <w:rsid w:val="000C68D2"/>
    <w:rsid w:val="000D16AE"/>
    <w:rsid w:val="000E2ADA"/>
    <w:rsid w:val="001577DF"/>
    <w:rsid w:val="001872B5"/>
    <w:rsid w:val="00195A05"/>
    <w:rsid w:val="001B092F"/>
    <w:rsid w:val="002227A3"/>
    <w:rsid w:val="00236C1E"/>
    <w:rsid w:val="00250F5C"/>
    <w:rsid w:val="0026653C"/>
    <w:rsid w:val="00284244"/>
    <w:rsid w:val="002D1201"/>
    <w:rsid w:val="002D6C0C"/>
    <w:rsid w:val="003174CE"/>
    <w:rsid w:val="003456F6"/>
    <w:rsid w:val="00392E07"/>
    <w:rsid w:val="00397E1B"/>
    <w:rsid w:val="003F7CFF"/>
    <w:rsid w:val="003F7FC0"/>
    <w:rsid w:val="004133A3"/>
    <w:rsid w:val="00417F77"/>
    <w:rsid w:val="004740F9"/>
    <w:rsid w:val="00482F27"/>
    <w:rsid w:val="005073AD"/>
    <w:rsid w:val="00535B3F"/>
    <w:rsid w:val="00542D14"/>
    <w:rsid w:val="00587328"/>
    <w:rsid w:val="005929B8"/>
    <w:rsid w:val="005B4DA1"/>
    <w:rsid w:val="0060068D"/>
    <w:rsid w:val="0064355D"/>
    <w:rsid w:val="00665D12"/>
    <w:rsid w:val="006827F7"/>
    <w:rsid w:val="00685DF4"/>
    <w:rsid w:val="006862B7"/>
    <w:rsid w:val="006A1A46"/>
    <w:rsid w:val="006A6DDA"/>
    <w:rsid w:val="006B494E"/>
    <w:rsid w:val="006C4F42"/>
    <w:rsid w:val="0073040B"/>
    <w:rsid w:val="007345E3"/>
    <w:rsid w:val="0074629A"/>
    <w:rsid w:val="007947B0"/>
    <w:rsid w:val="007B3C94"/>
    <w:rsid w:val="007C5EA5"/>
    <w:rsid w:val="007D4A1A"/>
    <w:rsid w:val="008233E0"/>
    <w:rsid w:val="00834E25"/>
    <w:rsid w:val="00843FC0"/>
    <w:rsid w:val="00865023"/>
    <w:rsid w:val="00881AE2"/>
    <w:rsid w:val="008D6681"/>
    <w:rsid w:val="008E08BC"/>
    <w:rsid w:val="00946284"/>
    <w:rsid w:val="00947863"/>
    <w:rsid w:val="00951B68"/>
    <w:rsid w:val="00970B0A"/>
    <w:rsid w:val="009716E2"/>
    <w:rsid w:val="00982DCF"/>
    <w:rsid w:val="00995261"/>
    <w:rsid w:val="00996EC9"/>
    <w:rsid w:val="009A1D7C"/>
    <w:rsid w:val="009B2C4F"/>
    <w:rsid w:val="009D494D"/>
    <w:rsid w:val="009D79ED"/>
    <w:rsid w:val="00A72C16"/>
    <w:rsid w:val="00A74957"/>
    <w:rsid w:val="00A9016B"/>
    <w:rsid w:val="00AA41B2"/>
    <w:rsid w:val="00AA704A"/>
    <w:rsid w:val="00AB5AA5"/>
    <w:rsid w:val="00AE62E3"/>
    <w:rsid w:val="00B06910"/>
    <w:rsid w:val="00B34410"/>
    <w:rsid w:val="00B41816"/>
    <w:rsid w:val="00BA4C95"/>
    <w:rsid w:val="00BA71C3"/>
    <w:rsid w:val="00C610F0"/>
    <w:rsid w:val="00C64EE7"/>
    <w:rsid w:val="00C75726"/>
    <w:rsid w:val="00C96BB8"/>
    <w:rsid w:val="00CD1042"/>
    <w:rsid w:val="00CD10BD"/>
    <w:rsid w:val="00CE7F57"/>
    <w:rsid w:val="00D00F93"/>
    <w:rsid w:val="00D70F6A"/>
    <w:rsid w:val="00DB0239"/>
    <w:rsid w:val="00DC14A5"/>
    <w:rsid w:val="00DF5B59"/>
    <w:rsid w:val="00E56BE2"/>
    <w:rsid w:val="00E62045"/>
    <w:rsid w:val="00EB510D"/>
    <w:rsid w:val="00EF56C6"/>
    <w:rsid w:val="00F268D7"/>
    <w:rsid w:val="00F4336F"/>
    <w:rsid w:val="00F47804"/>
    <w:rsid w:val="00F77EE4"/>
    <w:rsid w:val="00FA310B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FC0"/>
  </w:style>
  <w:style w:type="paragraph" w:styleId="Cmsor1">
    <w:name w:val="heading 1"/>
    <w:basedOn w:val="Norml"/>
    <w:next w:val="Norml"/>
    <w:link w:val="Cmsor1Char"/>
    <w:uiPriority w:val="9"/>
    <w:qFormat/>
    <w:rsid w:val="007C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C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0F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C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palrs">
    <w:name w:val="caption"/>
    <w:basedOn w:val="Norml"/>
    <w:next w:val="Norml"/>
    <w:uiPriority w:val="35"/>
    <w:unhideWhenUsed/>
    <w:qFormat/>
    <w:rsid w:val="000C68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410"/>
  </w:style>
  <w:style w:type="paragraph" w:styleId="llb">
    <w:name w:val="footer"/>
    <w:basedOn w:val="Norml"/>
    <w:link w:val="llb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410"/>
  </w:style>
  <w:style w:type="character" w:styleId="Hiperhivatkozs">
    <w:name w:val="Hyperlink"/>
    <w:basedOn w:val="Bekezdsalapbettpusa"/>
    <w:uiPriority w:val="99"/>
    <w:unhideWhenUsed/>
    <w:rsid w:val="003456F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456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FC0"/>
  </w:style>
  <w:style w:type="paragraph" w:styleId="Cmsor1">
    <w:name w:val="heading 1"/>
    <w:basedOn w:val="Norml"/>
    <w:next w:val="Norml"/>
    <w:link w:val="Cmsor1Char"/>
    <w:uiPriority w:val="9"/>
    <w:qFormat/>
    <w:rsid w:val="007C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7FC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C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0F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C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palrs">
    <w:name w:val="caption"/>
    <w:basedOn w:val="Norml"/>
    <w:next w:val="Norml"/>
    <w:uiPriority w:val="35"/>
    <w:unhideWhenUsed/>
    <w:qFormat/>
    <w:rsid w:val="000C68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4410"/>
  </w:style>
  <w:style w:type="paragraph" w:styleId="llb">
    <w:name w:val="footer"/>
    <w:basedOn w:val="Norml"/>
    <w:link w:val="llbChar"/>
    <w:uiPriority w:val="99"/>
    <w:unhideWhenUsed/>
    <w:rsid w:val="00B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4410"/>
  </w:style>
  <w:style w:type="character" w:styleId="Hiperhivatkozs">
    <w:name w:val="Hyperlink"/>
    <w:basedOn w:val="Bekezdsalapbettpusa"/>
    <w:uiPriority w:val="99"/>
    <w:unhideWhenUsed/>
    <w:rsid w:val="003456F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45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s://agrarstatisztika.kormany.hu/erdogazdalkodas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grarstatisztika.kormany.hu/erdogazdalkoda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48AC-0C54-4FF0-9CDC-C4698F8F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697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NÉBIH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Tobisch Tamás</dc:creator>
  <cp:lastModifiedBy>Dr. Tobisch Tamás</cp:lastModifiedBy>
  <cp:revision>40</cp:revision>
  <dcterms:created xsi:type="dcterms:W3CDTF">2020-07-06T09:50:00Z</dcterms:created>
  <dcterms:modified xsi:type="dcterms:W3CDTF">2021-10-01T07:57:00Z</dcterms:modified>
</cp:coreProperties>
</file>