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Pr="008D3731" w:rsidRDefault="00C16707" w:rsidP="00C16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731">
        <w:rPr>
          <w:rFonts w:ascii="Times New Roman" w:hAnsi="Times New Roman" w:cs="Times New Roman"/>
          <w:b/>
          <w:sz w:val="36"/>
          <w:szCs w:val="36"/>
        </w:rPr>
        <w:t>Minőségjelentés</w:t>
      </w:r>
    </w:p>
    <w:p w:rsidR="00C16707" w:rsidRPr="008D3731" w:rsidRDefault="00E01A14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31">
        <w:rPr>
          <w:rFonts w:ascii="Times New Roman" w:hAnsi="Times New Roman" w:cs="Times New Roman"/>
          <w:b/>
          <w:sz w:val="28"/>
          <w:szCs w:val="28"/>
        </w:rPr>
        <w:t xml:space="preserve">Erdei </w:t>
      </w:r>
      <w:r w:rsidR="0059135A">
        <w:rPr>
          <w:rFonts w:ascii="Times New Roman" w:hAnsi="Times New Roman" w:cs="Times New Roman"/>
          <w:b/>
          <w:sz w:val="28"/>
          <w:szCs w:val="28"/>
        </w:rPr>
        <w:t>f</w:t>
      </w:r>
      <w:r w:rsidRPr="008D3731">
        <w:rPr>
          <w:rFonts w:ascii="Times New Roman" w:hAnsi="Times New Roman" w:cs="Times New Roman"/>
          <w:b/>
          <w:sz w:val="28"/>
          <w:szCs w:val="28"/>
        </w:rPr>
        <w:t xml:space="preserve">atermékek </w:t>
      </w:r>
      <w:r w:rsidR="0059135A">
        <w:rPr>
          <w:rFonts w:ascii="Times New Roman" w:hAnsi="Times New Roman" w:cs="Times New Roman"/>
          <w:b/>
          <w:sz w:val="28"/>
          <w:szCs w:val="28"/>
        </w:rPr>
        <w:t>t</w:t>
      </w:r>
      <w:r w:rsidRPr="008D3731">
        <w:rPr>
          <w:rFonts w:ascii="Times New Roman" w:hAnsi="Times New Roman" w:cs="Times New Roman"/>
          <w:b/>
          <w:sz w:val="28"/>
          <w:szCs w:val="28"/>
        </w:rPr>
        <w:t xml:space="preserve">ermelése és </w:t>
      </w:r>
      <w:r w:rsidR="0059135A">
        <w:rPr>
          <w:rFonts w:ascii="Times New Roman" w:hAnsi="Times New Roman" w:cs="Times New Roman"/>
          <w:b/>
          <w:sz w:val="28"/>
          <w:szCs w:val="28"/>
        </w:rPr>
        <w:t>k</w:t>
      </w:r>
      <w:r w:rsidRPr="008D3731">
        <w:rPr>
          <w:rFonts w:ascii="Times New Roman" w:hAnsi="Times New Roman" w:cs="Times New Roman"/>
          <w:b/>
          <w:sz w:val="28"/>
          <w:szCs w:val="28"/>
        </w:rPr>
        <w:t>észletváltozása</w:t>
      </w:r>
      <w:r w:rsidR="002C1ED7" w:rsidRPr="008D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43" w:rsidRPr="008D3731">
        <w:rPr>
          <w:rFonts w:ascii="Times New Roman" w:hAnsi="Times New Roman" w:cs="Times New Roman"/>
          <w:b/>
          <w:sz w:val="28"/>
          <w:szCs w:val="28"/>
        </w:rPr>
        <w:t>(OSAP 1259)</w:t>
      </w:r>
    </w:p>
    <w:p w:rsidR="00C16707" w:rsidRPr="008D373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8D3731">
        <w:rPr>
          <w:b/>
        </w:rPr>
        <w:t>Általános információk:</w:t>
      </w:r>
    </w:p>
    <w:p w:rsidR="00C16707" w:rsidRPr="008D3731" w:rsidRDefault="00C16707" w:rsidP="00C16707">
      <w:pPr>
        <w:pStyle w:val="Listaszerbekezds"/>
        <w:jc w:val="both"/>
      </w:pPr>
    </w:p>
    <w:p w:rsidR="001F2B45" w:rsidRDefault="00C16707" w:rsidP="00151AB7">
      <w:pPr>
        <w:ind w:left="4956" w:hanging="4956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meghatározása: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állami erdőgazdaságok</w:t>
      </w:r>
      <w:r w:rsidR="007A104C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AC4317">
        <w:rPr>
          <w:rFonts w:ascii="Times New Roman" w:hAnsi="Times New Roman" w:cs="Times New Roman"/>
          <w:sz w:val="24"/>
        </w:rPr>
        <w:t xml:space="preserve"> és egyéb erdőgazdálkodók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Kijelölt a</w:t>
      </w:r>
      <w:r w:rsidR="00C16707" w:rsidRPr="008D3731">
        <w:rPr>
          <w:rFonts w:ascii="Times New Roman" w:hAnsi="Times New Roman" w:cs="Times New Roman"/>
          <w:sz w:val="24"/>
        </w:rPr>
        <w:t>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4317">
        <w:rPr>
          <w:rFonts w:ascii="Times New Roman" w:hAnsi="Times New Roman" w:cs="Times New Roman"/>
          <w:iCs/>
          <w:sz w:val="24"/>
        </w:rPr>
        <w:t>43</w:t>
      </w:r>
      <w:r w:rsidR="00EB22A3">
        <w:rPr>
          <w:rFonts w:ascii="Times New Roman" w:hAnsi="Times New Roman" w:cs="Times New Roman"/>
          <w:iCs/>
          <w:sz w:val="24"/>
        </w:rPr>
        <w:t>8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Tényleges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4317">
        <w:rPr>
          <w:rFonts w:ascii="Times New Roman" w:hAnsi="Times New Roman" w:cs="Times New Roman"/>
          <w:sz w:val="24"/>
        </w:rPr>
        <w:t>399</w:t>
      </w:r>
    </w:p>
    <w:p w:rsidR="00391815" w:rsidRPr="008D3731" w:rsidRDefault="00391815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Elekt</w:t>
      </w:r>
      <w:r w:rsidR="00ED76E2" w:rsidRPr="008D3731">
        <w:rPr>
          <w:rFonts w:ascii="Times New Roman" w:hAnsi="Times New Roman" w:cs="Times New Roman"/>
          <w:sz w:val="24"/>
        </w:rPr>
        <w:t>ronikus beérkezés száma</w:t>
      </w:r>
      <w:r w:rsidR="00914243" w:rsidRPr="008D3731">
        <w:rPr>
          <w:rFonts w:ascii="Times New Roman" w:hAnsi="Times New Roman" w:cs="Times New Roman"/>
          <w:sz w:val="24"/>
        </w:rPr>
        <w:t>/</w:t>
      </w:r>
      <w:r w:rsidRPr="008D3731">
        <w:rPr>
          <w:rFonts w:ascii="Times New Roman" w:hAnsi="Times New Roman" w:cs="Times New Roman"/>
          <w:sz w:val="24"/>
        </w:rPr>
        <w:t>aránya:</w:t>
      </w:r>
      <w:r w:rsidR="00ED76E2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4317">
        <w:rPr>
          <w:rFonts w:ascii="Times New Roman" w:hAnsi="Times New Roman" w:cs="Times New Roman"/>
          <w:sz w:val="24"/>
        </w:rPr>
        <w:t>399</w:t>
      </w:r>
      <w:r w:rsidR="00EB22A3">
        <w:rPr>
          <w:rFonts w:ascii="Times New Roman" w:hAnsi="Times New Roman" w:cs="Times New Roman"/>
          <w:sz w:val="24"/>
        </w:rPr>
        <w:t xml:space="preserve"> / 100 %</w:t>
      </w:r>
    </w:p>
    <w:p w:rsidR="00C0200E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Nullás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4317">
        <w:rPr>
          <w:rFonts w:ascii="Times New Roman" w:hAnsi="Times New Roman" w:cs="Times New Roman"/>
          <w:sz w:val="24"/>
        </w:rPr>
        <w:t>106</w:t>
      </w:r>
    </w:p>
    <w:p w:rsidR="00AD5F86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 kérdőív adathelyeinek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432</w:t>
      </w:r>
    </w:p>
    <w:p w:rsidR="00C16707" w:rsidRPr="008D3731" w:rsidRDefault="00C16707" w:rsidP="00151AB7">
      <w:pPr>
        <w:ind w:left="4950" w:hanging="4950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Adatgyűjtés módja: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3B21AC">
        <w:rPr>
          <w:rFonts w:ascii="Times New Roman" w:hAnsi="Times New Roman" w:cs="Times New Roman"/>
          <w:sz w:val="24"/>
        </w:rPr>
        <w:t>kombinált (az állami erdőgazdaságokra teljes körű, az egyéb erdőgazdálkodók esetében mintavételes)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Gyakorisága: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éves</w:t>
      </w:r>
    </w:p>
    <w:p w:rsidR="00623D66" w:rsidRPr="008D3731" w:rsidRDefault="00623D66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Tárgyidőszak: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201</w:t>
      </w:r>
      <w:r w:rsidR="00AC4317">
        <w:rPr>
          <w:rFonts w:ascii="Times New Roman" w:hAnsi="Times New Roman" w:cs="Times New Roman"/>
          <w:sz w:val="24"/>
        </w:rPr>
        <w:t>8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Beérkezési határidő: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201</w:t>
      </w:r>
      <w:r w:rsidR="00AC4317">
        <w:rPr>
          <w:rFonts w:ascii="Times New Roman" w:hAnsi="Times New Roman" w:cs="Times New Roman"/>
          <w:sz w:val="24"/>
        </w:rPr>
        <w:t>9</w:t>
      </w:r>
      <w:r w:rsidR="00F158E6" w:rsidRPr="008D3731">
        <w:rPr>
          <w:rFonts w:ascii="Times New Roman" w:hAnsi="Times New Roman" w:cs="Times New Roman"/>
          <w:sz w:val="24"/>
        </w:rPr>
        <w:t>. március 17</w:t>
      </w:r>
      <w:r w:rsidR="00743443" w:rsidRPr="008D3731">
        <w:rPr>
          <w:rFonts w:ascii="Times New Roman" w:hAnsi="Times New Roman" w:cs="Times New Roman"/>
          <w:sz w:val="24"/>
        </w:rPr>
        <w:t>.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Tervezett publikálás időpontja:</w:t>
      </w:r>
      <w:r w:rsidR="00E1383A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042D3" w:rsidRPr="008D3731">
        <w:rPr>
          <w:rFonts w:ascii="Times New Roman" w:hAnsi="Times New Roman" w:cs="Times New Roman"/>
          <w:sz w:val="24"/>
        </w:rPr>
        <w:t>201</w:t>
      </w:r>
      <w:r w:rsidR="00AC4317">
        <w:rPr>
          <w:rFonts w:ascii="Times New Roman" w:hAnsi="Times New Roman" w:cs="Times New Roman"/>
          <w:sz w:val="24"/>
        </w:rPr>
        <w:t>9</w:t>
      </w:r>
      <w:r w:rsidR="00E1383A" w:rsidRPr="008D3731">
        <w:rPr>
          <w:rFonts w:ascii="Times New Roman" w:hAnsi="Times New Roman" w:cs="Times New Roman"/>
          <w:sz w:val="24"/>
        </w:rPr>
        <w:t>.</w:t>
      </w:r>
      <w:r w:rsidR="00A042D3" w:rsidRPr="008D3731">
        <w:rPr>
          <w:rFonts w:ascii="Times New Roman" w:hAnsi="Times New Roman" w:cs="Times New Roman"/>
          <w:sz w:val="24"/>
        </w:rPr>
        <w:t>0</w:t>
      </w:r>
      <w:r w:rsidR="003B21AC">
        <w:rPr>
          <w:rFonts w:ascii="Times New Roman" w:hAnsi="Times New Roman" w:cs="Times New Roman"/>
          <w:sz w:val="24"/>
        </w:rPr>
        <w:t>6</w:t>
      </w:r>
      <w:r w:rsidR="00A042D3" w:rsidRPr="008D3731">
        <w:rPr>
          <w:rFonts w:ascii="Times New Roman" w:hAnsi="Times New Roman" w:cs="Times New Roman"/>
          <w:sz w:val="24"/>
        </w:rPr>
        <w:t>.</w:t>
      </w:r>
      <w:r w:rsidR="003B21AC">
        <w:rPr>
          <w:rFonts w:ascii="Times New Roman" w:hAnsi="Times New Roman" w:cs="Times New Roman"/>
          <w:sz w:val="24"/>
        </w:rPr>
        <w:t>30</w:t>
      </w:r>
      <w:r w:rsidR="00A042D3" w:rsidRPr="008D3731">
        <w:rPr>
          <w:rFonts w:ascii="Times New Roman" w:hAnsi="Times New Roman" w:cs="Times New Roman"/>
          <w:sz w:val="24"/>
        </w:rPr>
        <w:t>.</w:t>
      </w:r>
    </w:p>
    <w:p w:rsidR="00914243" w:rsidRPr="008D3731" w:rsidRDefault="00914243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8D3731">
        <w:rPr>
          <w:rFonts w:eastAsiaTheme="minorHAnsi"/>
          <w:b/>
          <w:lang w:eastAsia="en-US"/>
        </w:rPr>
        <w:t>Az adatgyűjtés tárgyidőszaki minősége</w:t>
      </w:r>
    </w:p>
    <w:p w:rsidR="00C16707" w:rsidRPr="008D373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637383" w:rsidRPr="008D373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P</w:t>
      </w:r>
      <w:r w:rsidRPr="008D3731">
        <w:rPr>
          <w:rFonts w:eastAsiaTheme="minorHAnsi"/>
          <w:b/>
          <w:lang w:eastAsia="en-US"/>
        </w:rPr>
        <w:t>ontosság:</w:t>
      </w:r>
      <w:r w:rsidRPr="008D3731">
        <w:rPr>
          <w:rFonts w:eastAsiaTheme="minorHAnsi"/>
          <w:lang w:eastAsia="en-US"/>
        </w:rPr>
        <w:t xml:space="preserve"> </w:t>
      </w:r>
      <w:r w:rsidRPr="008D3731">
        <w:t>rövid szöveges értékelés</w:t>
      </w:r>
    </w:p>
    <w:p w:rsidR="00A72198" w:rsidRPr="008D3731" w:rsidRDefault="00A72198" w:rsidP="00A72198">
      <w:pPr>
        <w:jc w:val="both"/>
      </w:pPr>
    </w:p>
    <w:p w:rsidR="00C63EA5" w:rsidRDefault="00914243" w:rsidP="00EB22A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Statisztikai értelemben az adatok megbízhatóságának két, egymástól független összetevője van: a pontosság (</w:t>
      </w:r>
      <w:proofErr w:type="spellStart"/>
      <w:r w:rsidRPr="008D3731">
        <w:rPr>
          <w:rFonts w:ascii="Times New Roman" w:hAnsi="Times New Roman" w:cs="Times New Roman"/>
          <w:i/>
          <w:sz w:val="24"/>
        </w:rPr>
        <w:t>accuracy</w:t>
      </w:r>
      <w:proofErr w:type="spellEnd"/>
      <w:r w:rsidRPr="008D3731">
        <w:rPr>
          <w:rFonts w:ascii="Times New Roman" w:hAnsi="Times New Roman" w:cs="Times New Roman"/>
          <w:sz w:val="24"/>
        </w:rPr>
        <w:t>), ami az adatokban lévő torzítottságot, vagyis a szisztematikus hibát fejezi ki, valamint a precizitás (</w:t>
      </w:r>
      <w:proofErr w:type="spellStart"/>
      <w:r w:rsidRPr="008D3731">
        <w:rPr>
          <w:rFonts w:ascii="Times New Roman" w:hAnsi="Times New Roman" w:cs="Times New Roman"/>
          <w:i/>
          <w:sz w:val="24"/>
        </w:rPr>
        <w:t>precision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), ami az adatokban rejlő véletlenszerű hiba számszerűsítése. </w:t>
      </w:r>
      <w:proofErr w:type="gramStart"/>
      <w:r w:rsidRPr="008D3731">
        <w:rPr>
          <w:rFonts w:ascii="Times New Roman" w:hAnsi="Times New Roman" w:cs="Times New Roman"/>
          <w:sz w:val="24"/>
        </w:rPr>
        <w:t>Mindkét típusú</w:t>
      </w:r>
      <w:proofErr w:type="gramEnd"/>
      <w:r w:rsidRPr="008D3731">
        <w:rPr>
          <w:rFonts w:ascii="Times New Roman" w:hAnsi="Times New Roman" w:cs="Times New Roman"/>
          <w:sz w:val="24"/>
        </w:rPr>
        <w:t xml:space="preserve"> hibának számos oka lehet. Jelen esetben az adatok torzítottsága elsősorban akkor lenne feltételezhető, ha az adatszolgáltatónak anyagi érdeke fűződne ahhoz, hogy a ténylegesen kitermelt </w:t>
      </w:r>
      <w:proofErr w:type="gramStart"/>
      <w:r w:rsidRPr="008D3731">
        <w:rPr>
          <w:rFonts w:ascii="Times New Roman" w:hAnsi="Times New Roman" w:cs="Times New Roman"/>
          <w:sz w:val="24"/>
        </w:rPr>
        <w:t>fatérfogathoz</w:t>
      </w:r>
      <w:proofErr w:type="gramEnd"/>
      <w:r w:rsidRPr="008D3731">
        <w:rPr>
          <w:rFonts w:ascii="Times New Roman" w:hAnsi="Times New Roman" w:cs="Times New Roman"/>
          <w:sz w:val="24"/>
        </w:rPr>
        <w:t xml:space="preserve"> </w:t>
      </w:r>
      <w:r w:rsidR="003B21AC">
        <w:rPr>
          <w:rFonts w:ascii="Times New Roman" w:hAnsi="Times New Roman" w:cs="Times New Roman"/>
          <w:sz w:val="24"/>
        </w:rPr>
        <w:t xml:space="preserve">ill. árbevételhez </w:t>
      </w:r>
      <w:r w:rsidRPr="008D3731">
        <w:rPr>
          <w:rFonts w:ascii="Times New Roman" w:hAnsi="Times New Roman" w:cs="Times New Roman"/>
          <w:sz w:val="24"/>
        </w:rPr>
        <w:t>képest tudatosan többet vagy kevesebbet jelentsen be. Ilyen érdek</w:t>
      </w:r>
      <w:r w:rsidR="003B21AC">
        <w:rPr>
          <w:rFonts w:ascii="Times New Roman" w:hAnsi="Times New Roman" w:cs="Times New Roman"/>
          <w:sz w:val="24"/>
        </w:rPr>
        <w:t>nek azonban nem kellene fennállnia, hiszen az adatok csak statisztikai célra használhatók fel, hatósági eljárás azok alapján nem indítható.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3B21AC">
        <w:rPr>
          <w:rFonts w:ascii="Times New Roman" w:hAnsi="Times New Roman" w:cs="Times New Roman"/>
          <w:sz w:val="24"/>
        </w:rPr>
        <w:lastRenderedPageBreak/>
        <w:t>Ennek ellenére megfigyelhető, hogy</w:t>
      </w:r>
      <w:r w:rsidR="00761485">
        <w:rPr>
          <w:rFonts w:ascii="Times New Roman" w:hAnsi="Times New Roman" w:cs="Times New Roman"/>
          <w:sz w:val="24"/>
        </w:rPr>
        <w:t xml:space="preserve"> a magán erdőgazdálkodók</w:t>
      </w:r>
      <w:r w:rsidR="004A1511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7614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485">
        <w:rPr>
          <w:rFonts w:ascii="Times New Roman" w:hAnsi="Times New Roman" w:cs="Times New Roman"/>
          <w:sz w:val="24"/>
        </w:rPr>
        <w:t>tendenciózusan</w:t>
      </w:r>
      <w:proofErr w:type="spellEnd"/>
      <w:r w:rsidR="00761485">
        <w:rPr>
          <w:rFonts w:ascii="Times New Roman" w:hAnsi="Times New Roman" w:cs="Times New Roman"/>
          <w:sz w:val="24"/>
        </w:rPr>
        <w:t xml:space="preserve"> kisebb árbevételi adatokat </w:t>
      </w:r>
      <w:r w:rsidR="00EB22A3">
        <w:rPr>
          <w:rFonts w:ascii="Times New Roman" w:hAnsi="Times New Roman" w:cs="Times New Roman"/>
          <w:sz w:val="24"/>
        </w:rPr>
        <w:t>szolgáltattak</w:t>
      </w:r>
      <w:r w:rsidR="00761485">
        <w:rPr>
          <w:rFonts w:ascii="Times New Roman" w:hAnsi="Times New Roman" w:cs="Times New Roman"/>
          <w:sz w:val="24"/>
        </w:rPr>
        <w:t xml:space="preserve"> (</w:t>
      </w:r>
      <w:r w:rsidR="00761485">
        <w:rPr>
          <w:rFonts w:ascii="Times New Roman" w:hAnsi="Times New Roman" w:cs="Times New Roman"/>
          <w:sz w:val="24"/>
        </w:rPr>
        <w:fldChar w:fldCharType="begin"/>
      </w:r>
      <w:r w:rsidR="00761485">
        <w:rPr>
          <w:rFonts w:ascii="Times New Roman" w:hAnsi="Times New Roman" w:cs="Times New Roman"/>
          <w:sz w:val="24"/>
        </w:rPr>
        <w:instrText xml:space="preserve"> REF _Ref12943355 \h  \* MERGEFORMAT </w:instrText>
      </w:r>
      <w:r w:rsidR="00761485">
        <w:rPr>
          <w:rFonts w:ascii="Times New Roman" w:hAnsi="Times New Roman" w:cs="Times New Roman"/>
          <w:sz w:val="24"/>
        </w:rPr>
      </w:r>
      <w:r w:rsidR="00761485">
        <w:rPr>
          <w:rFonts w:ascii="Times New Roman" w:hAnsi="Times New Roman" w:cs="Times New Roman"/>
          <w:sz w:val="24"/>
        </w:rPr>
        <w:fldChar w:fldCharType="separate"/>
      </w:r>
      <w:r w:rsidR="00761485" w:rsidRPr="00151AB7">
        <w:rPr>
          <w:rFonts w:ascii="Times New Roman" w:hAnsi="Times New Roman" w:cs="Times New Roman"/>
          <w:sz w:val="24"/>
        </w:rPr>
        <w:t>1. ábra</w:t>
      </w:r>
      <w:r w:rsidR="00761485">
        <w:rPr>
          <w:rFonts w:ascii="Times New Roman" w:hAnsi="Times New Roman" w:cs="Times New Roman"/>
          <w:sz w:val="24"/>
        </w:rPr>
        <w:fldChar w:fldCharType="end"/>
      </w:r>
      <w:r w:rsidR="00761485">
        <w:rPr>
          <w:rFonts w:ascii="Times New Roman" w:hAnsi="Times New Roman" w:cs="Times New Roman"/>
          <w:sz w:val="24"/>
        </w:rPr>
        <w:t xml:space="preserve">). </w:t>
      </w:r>
      <w:r w:rsidR="00C63EA5">
        <w:rPr>
          <w:rFonts w:ascii="Times New Roman" w:hAnsi="Times New Roman" w:cs="Times New Roman"/>
          <w:sz w:val="24"/>
        </w:rPr>
        <w:t>Ennek hátterében egyrészt a pontatlan adatközlés is állhat, másrészt az adatszolgáltatók közlése alapján az is előfordult, hogy a lábon értékesített mennyiség utáni árbevételt tüntették fel az adatlapon. A fakitermelési, felkészítési és elszállítási költségek ekkor nem jelennek meg az árstatisztikában. Az adatok megbízhatóságának emelését szolgálja, hogy a következő évtől kezdődően az árstatisztikákra vonatkozóan új adatgyűjtést indítunk, melyben pontos módszertani előírások fogják biztosítani azt, hogy az adott fatermékek árát az adatszolgáltatók azonos értelmezés mellett adják meg.</w:t>
      </w:r>
    </w:p>
    <w:p w:rsidR="00BE6307" w:rsidRPr="00151AB7" w:rsidRDefault="00914243" w:rsidP="00EB22A3">
      <w:pPr>
        <w:jc w:val="both"/>
      </w:pPr>
      <w:r w:rsidRPr="00151AB7">
        <w:rPr>
          <w:rFonts w:ascii="Times New Roman" w:hAnsi="Times New Roman" w:cs="Times New Roman"/>
          <w:sz w:val="24"/>
        </w:rPr>
        <w:t xml:space="preserve">A véletlenszerű hibák jelenlétére utalhat az adatok évről-évre való nagymértékű változása akár pozitív, akár negatív irányban. A korábbi adatokkal, vagy független adatforrásból származó hasonló típusú adatokkal való összevetés alapján lehet becsülni a véletlenszerű hibák jelentőségét. </w:t>
      </w:r>
      <w:r w:rsidR="003B21AC" w:rsidRPr="00151AB7">
        <w:rPr>
          <w:rFonts w:ascii="Times New Roman" w:hAnsi="Times New Roman" w:cs="Times New Roman"/>
          <w:sz w:val="24"/>
        </w:rPr>
        <w:t xml:space="preserve">Az </w:t>
      </w:r>
      <w:r w:rsidR="007A3E74">
        <w:rPr>
          <w:rFonts w:ascii="Times New Roman" w:hAnsi="Times New Roman" w:cs="Times New Roman"/>
          <w:sz w:val="24"/>
        </w:rPr>
        <w:t xml:space="preserve">állami erdőgazdaságok esetében az </w:t>
      </w:r>
      <w:r w:rsidR="003B21AC" w:rsidRPr="00151AB7">
        <w:rPr>
          <w:rFonts w:ascii="Times New Roman" w:hAnsi="Times New Roman" w:cs="Times New Roman"/>
          <w:sz w:val="24"/>
        </w:rPr>
        <w:t>idősorok konzisztenciája (ld. az adatgyűjtésre vonatkozó statisztikai közleményeket), azt jelzi, hogy a véletlenszerű hibák elfogadható mértékűek, az adatok jól értékelhetők.</w:t>
      </w:r>
    </w:p>
    <w:p w:rsidR="00BE6307" w:rsidRPr="008D3731" w:rsidRDefault="00BE6307" w:rsidP="00BE6307">
      <w:pPr>
        <w:pStyle w:val="Listaszerbekezds"/>
        <w:ind w:left="0"/>
        <w:jc w:val="both"/>
      </w:pPr>
    </w:p>
    <w:p w:rsidR="003F77E3" w:rsidRPr="008D3731" w:rsidRDefault="003F77E3" w:rsidP="00C16707">
      <w:pPr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sz w:val="24"/>
        </w:rPr>
        <w:tab/>
      </w: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3F77E3" w:rsidRPr="008D3731" w:rsidRDefault="003F77E3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Egység szintű súlyozatlan beérkezési arány: beérkezett kérőívek száma/összes adatszolgáltató</w:t>
      </w:r>
    </w:p>
    <w:p w:rsidR="00E1383A" w:rsidRPr="008D3731" w:rsidRDefault="00AC4317" w:rsidP="00DC1FD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91,1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3F77E3" w:rsidRPr="008D3731" w:rsidRDefault="003F77E3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Tétel szintű súlyozatlan beérkezési arány: beérkezett válaszok</w:t>
      </w:r>
      <w:r w:rsidR="00394973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</w:t>
      </w:r>
      <w:r w:rsidR="00567832" w:rsidRPr="008D3731">
        <w:rPr>
          <w:rFonts w:ascii="Times New Roman" w:hAnsi="Times New Roman" w:cs="Times New Roman"/>
          <w:sz w:val="24"/>
        </w:rPr>
        <w:t xml:space="preserve">releváns </w:t>
      </w:r>
      <w:r w:rsidRPr="008D3731">
        <w:rPr>
          <w:rFonts w:ascii="Times New Roman" w:hAnsi="Times New Roman" w:cs="Times New Roman"/>
          <w:sz w:val="24"/>
        </w:rPr>
        <w:t>adatszolgáltatók száma</w:t>
      </w:r>
      <w:r w:rsidR="00394973" w:rsidRPr="008D3731">
        <w:rPr>
          <w:rFonts w:ascii="Times New Roman" w:hAnsi="Times New Roman" w:cs="Times New Roman"/>
          <w:sz w:val="24"/>
        </w:rPr>
        <w:t xml:space="preserve"> adathelyenként</w:t>
      </w:r>
      <w:r w:rsidR="0083019D" w:rsidRPr="008D3731">
        <w:rPr>
          <w:rFonts w:ascii="Times New Roman" w:hAnsi="Times New Roman" w:cs="Times New Roman"/>
          <w:sz w:val="24"/>
        </w:rPr>
        <w:t>:</w:t>
      </w:r>
    </w:p>
    <w:p w:rsidR="0083019D" w:rsidRPr="008D3731" w:rsidRDefault="00AC4317" w:rsidP="00DC1FD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91,1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FA7678" w:rsidRPr="008D373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8D3731">
        <w:rPr>
          <w:rFonts w:ascii="Times New Roman" w:hAnsi="Times New Roman" w:cs="Times New Roman"/>
          <w:sz w:val="24"/>
        </w:rPr>
        <w:t>imputálási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adatszolgáltatók</w:t>
      </w:r>
      <w:r w:rsidR="007110DA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/összes adatszolgáltató</w:t>
      </w:r>
    </w:p>
    <w:p w:rsidR="00F44647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FA7678" w:rsidRPr="008D3731" w:rsidRDefault="00FA7678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8D3731">
        <w:rPr>
          <w:rFonts w:ascii="Times New Roman" w:hAnsi="Times New Roman" w:cs="Times New Roman"/>
          <w:sz w:val="24"/>
        </w:rPr>
        <w:t>imputálási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8D3731">
        <w:rPr>
          <w:rFonts w:ascii="Times New Roman" w:hAnsi="Times New Roman" w:cs="Times New Roman"/>
          <w:sz w:val="24"/>
        </w:rPr>
        <w:t xml:space="preserve"> értékek</w:t>
      </w:r>
      <w:r w:rsidRPr="008D3731">
        <w:rPr>
          <w:rFonts w:ascii="Times New Roman" w:hAnsi="Times New Roman" w:cs="Times New Roman"/>
          <w:sz w:val="24"/>
        </w:rPr>
        <w:t xml:space="preserve"> száma/</w:t>
      </w:r>
      <w:r w:rsidR="007110DA" w:rsidRPr="008D3731">
        <w:rPr>
          <w:rFonts w:ascii="Times New Roman" w:hAnsi="Times New Roman" w:cs="Times New Roman"/>
          <w:sz w:val="24"/>
        </w:rPr>
        <w:t>összes érték adathelyenként</w:t>
      </w:r>
    </w:p>
    <w:p w:rsidR="00BE69CC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BE6307" w:rsidRPr="008D3731" w:rsidRDefault="00391815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Hibajavítások száma és aránya</w:t>
      </w:r>
      <w:r w:rsidR="007110DA" w:rsidRPr="008D3731">
        <w:rPr>
          <w:rFonts w:ascii="Times New Roman" w:hAnsi="Times New Roman" w:cs="Times New Roman"/>
          <w:sz w:val="24"/>
        </w:rPr>
        <w:t xml:space="preserve">: </w:t>
      </w:r>
      <w:r w:rsidR="007B59DE" w:rsidRPr="008D3731">
        <w:rPr>
          <w:rFonts w:ascii="Times New Roman" w:hAnsi="Times New Roman" w:cs="Times New Roman"/>
          <w:sz w:val="24"/>
        </w:rPr>
        <w:t>javított</w:t>
      </w:r>
      <w:r w:rsidR="007110DA" w:rsidRPr="008D3731">
        <w:rPr>
          <w:rFonts w:ascii="Times New Roman" w:hAnsi="Times New Roman" w:cs="Times New Roman"/>
          <w:sz w:val="24"/>
        </w:rPr>
        <w:t xml:space="preserve"> rekordok száma/összes rekord</w:t>
      </w:r>
      <w:r w:rsidR="004B5AE8" w:rsidRPr="008D3731">
        <w:rPr>
          <w:rFonts w:ascii="Times New Roman" w:hAnsi="Times New Roman" w:cs="Times New Roman"/>
          <w:sz w:val="24"/>
        </w:rPr>
        <w:t>:</w:t>
      </w:r>
    </w:p>
    <w:p w:rsidR="00BE6307" w:rsidRPr="008D3731" w:rsidRDefault="006D59CD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Javított rekordok száma:</w:t>
      </w:r>
      <w:r w:rsidR="00A73EFF">
        <w:rPr>
          <w:rFonts w:ascii="Times New Roman" w:hAnsi="Times New Roman" w:cs="Times New Roman"/>
          <w:sz w:val="24"/>
        </w:rPr>
        <w:t xml:space="preserve"> </w:t>
      </w:r>
      <w:r w:rsidR="00D84D51" w:rsidRPr="0000191D">
        <w:rPr>
          <w:rFonts w:ascii="Times New Roman" w:hAnsi="Times New Roman" w:cs="Times New Roman"/>
          <w:sz w:val="24"/>
        </w:rPr>
        <w:t>25</w:t>
      </w:r>
      <w:r w:rsidR="00AC4317" w:rsidRPr="0000191D">
        <w:rPr>
          <w:rFonts w:ascii="Times New Roman" w:hAnsi="Times New Roman" w:cs="Times New Roman"/>
          <w:sz w:val="24"/>
        </w:rPr>
        <w:t xml:space="preserve"> </w:t>
      </w:r>
    </w:p>
    <w:p w:rsidR="00AC4317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megkeresésével javított hibák aránya:</w:t>
      </w:r>
      <w:r w:rsidR="004B5AE8" w:rsidRPr="008D3731">
        <w:rPr>
          <w:rFonts w:ascii="Times New Roman" w:hAnsi="Times New Roman" w:cs="Times New Roman"/>
          <w:sz w:val="24"/>
        </w:rPr>
        <w:t xml:space="preserve"> </w:t>
      </w:r>
      <w:r w:rsidR="00D84D51" w:rsidRPr="0000191D">
        <w:rPr>
          <w:rFonts w:ascii="Times New Roman" w:hAnsi="Times New Roman" w:cs="Times New Roman"/>
          <w:sz w:val="24"/>
        </w:rPr>
        <w:t xml:space="preserve">0,71 </w:t>
      </w:r>
      <w:r w:rsidR="00D9307C" w:rsidRPr="0000191D">
        <w:rPr>
          <w:rFonts w:ascii="Times New Roman" w:hAnsi="Times New Roman" w:cs="Times New Roman"/>
          <w:sz w:val="24"/>
        </w:rPr>
        <w:t>%</w:t>
      </w:r>
    </w:p>
    <w:p w:rsidR="00BE6307" w:rsidRPr="008D3731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Adatfeldolgozó által javított hibák aránya</w:t>
      </w:r>
      <w:r w:rsidR="00D9307C" w:rsidRPr="0000191D">
        <w:rPr>
          <w:rFonts w:ascii="Times New Roman" w:hAnsi="Times New Roman" w:cs="Times New Roman"/>
          <w:sz w:val="24"/>
        </w:rPr>
        <w:t xml:space="preserve">: </w:t>
      </w:r>
      <w:r w:rsidR="00D84D51" w:rsidRPr="0000191D">
        <w:rPr>
          <w:rFonts w:ascii="Times New Roman" w:hAnsi="Times New Roman" w:cs="Times New Roman"/>
          <w:sz w:val="24"/>
        </w:rPr>
        <w:t xml:space="preserve">4,94 </w:t>
      </w:r>
      <w:r w:rsidR="00D9307C" w:rsidRPr="0000191D">
        <w:rPr>
          <w:rFonts w:ascii="Times New Roman" w:hAnsi="Times New Roman" w:cs="Times New Roman"/>
          <w:sz w:val="24"/>
        </w:rPr>
        <w:t>%</w:t>
      </w:r>
      <w:r w:rsidR="00DC1FDF" w:rsidRPr="008D3731">
        <w:rPr>
          <w:rFonts w:ascii="Times New Roman" w:hAnsi="Times New Roman" w:cs="Times New Roman"/>
          <w:sz w:val="24"/>
        </w:rPr>
        <w:tab/>
      </w:r>
    </w:p>
    <w:p w:rsidR="009D2EBE" w:rsidRDefault="009D2EBE" w:rsidP="00623D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383" w:rsidRPr="008D3731" w:rsidRDefault="00C16707" w:rsidP="00623D66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Időszerűség:</w:t>
      </w:r>
      <w:r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Pr="008D3731">
        <w:rPr>
          <w:rFonts w:ascii="Times New Roman" w:hAnsi="Times New Roman" w:cs="Times New Roman"/>
          <w:sz w:val="24"/>
        </w:rPr>
        <w:t xml:space="preserve">tervezett </w:t>
      </w:r>
      <w:r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Pr="008D3731">
        <w:rPr>
          <w:rFonts w:ascii="Times New Roman" w:hAnsi="Times New Roman" w:cs="Times New Roman"/>
          <w:sz w:val="24"/>
        </w:rPr>
        <w:t>hossza</w:t>
      </w:r>
    </w:p>
    <w:p w:rsidR="001A2D42" w:rsidRPr="008D3731" w:rsidRDefault="00DC1FDF" w:rsidP="00914243">
      <w:pPr>
        <w:jc w:val="both"/>
      </w:pPr>
      <w:r w:rsidRPr="008D3731">
        <w:rPr>
          <w:rFonts w:ascii="Times New Roman" w:hAnsi="Times New Roman" w:cs="Times New Roman"/>
          <w:sz w:val="24"/>
        </w:rPr>
        <w:t>6 hónap</w:t>
      </w:r>
      <w:r w:rsidR="00AF3534" w:rsidRPr="008D3731">
        <w:rPr>
          <w:rFonts w:ascii="Times New Roman" w:hAnsi="Times New Roman" w:cs="Times New Roman"/>
          <w:sz w:val="24"/>
        </w:rPr>
        <w:t>.</w:t>
      </w: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8D3731">
        <w:rPr>
          <w:b/>
        </w:rPr>
        <w:t xml:space="preserve">Időbeli pontosság: </w:t>
      </w:r>
      <w:r w:rsidRPr="008D3731">
        <w:t>a publikálás tervezett időpontja tart</w:t>
      </w:r>
      <w:r w:rsidR="00725134" w:rsidRPr="008D3731">
        <w:t>ható-e, ha nem mi ennek az oka (pl. minőség-ellenőrzés, javítás)</w:t>
      </w:r>
    </w:p>
    <w:p w:rsidR="00AA5DD2" w:rsidRPr="00AA5DD2" w:rsidRDefault="00AA5DD2" w:rsidP="00AA5DD2">
      <w:pPr>
        <w:jc w:val="both"/>
      </w:pPr>
    </w:p>
    <w:p w:rsidR="00BE6307" w:rsidRPr="008D3731" w:rsidRDefault="006A5069" w:rsidP="0091424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publikálás tervezett időpontja nem volt tartható, abban kb. két</w:t>
      </w:r>
      <w:r w:rsidR="00AC4317">
        <w:rPr>
          <w:rFonts w:ascii="Times New Roman" w:hAnsi="Times New Roman" w:cs="Times New Roman"/>
          <w:sz w:val="24"/>
        </w:rPr>
        <w:t xml:space="preserve"> hét késés</w:t>
      </w:r>
      <w:r>
        <w:rPr>
          <w:rFonts w:ascii="Times New Roman" w:hAnsi="Times New Roman" w:cs="Times New Roman"/>
          <w:sz w:val="24"/>
        </w:rPr>
        <w:t xml:space="preserve"> következett be</w:t>
      </w:r>
      <w:r w:rsidR="00B3508A" w:rsidRPr="008D37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Ennek egyrészt az az oka, hogy az adatminőség biztosítása érdekében idén első alkalommal indultak közigazgatási bírsággal kapcsolatos eljárások, amelyek elhúzódtak. Az eljárások folytán a beérkezett adatszolgáltatások aránya a korábbi évekhez képest lényegesen megnőtt. Másrészt a magánszektorból idén első alkalommal érkezett adatok és az idén először alkalmazott Agrárstatisztikai Információs Rendszer a szokásoshoz képest nagyobb fokú ellenőrzést, az adatszolgáltatókkal több kommunikációt igényelt.</w:t>
      </w: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H</w:t>
      </w:r>
      <w:r w:rsidRPr="008D3731">
        <w:rPr>
          <w:rFonts w:eastAsiaTheme="minorHAnsi"/>
          <w:b/>
          <w:lang w:eastAsia="en-US"/>
        </w:rPr>
        <w:t>ozzáférhetőség:</w:t>
      </w:r>
    </w:p>
    <w:p w:rsidR="00AA5DD2" w:rsidRPr="008D3731" w:rsidRDefault="00AA5DD2" w:rsidP="00AA5DD2">
      <w:pPr>
        <w:jc w:val="both"/>
      </w:pPr>
      <w:bookmarkStart w:id="0" w:name="_GoBack"/>
      <w:bookmarkEnd w:id="0"/>
    </w:p>
    <w:p w:rsidR="00263EC4" w:rsidRPr="008D3731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F8335F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Védett adatok száma és aránya:</w:t>
      </w:r>
      <w:r w:rsidR="00F87068">
        <w:rPr>
          <w:rFonts w:ascii="Times New Roman" w:hAnsi="Times New Roman" w:cs="Times New Roman"/>
          <w:sz w:val="24"/>
        </w:rPr>
        <w:t xml:space="preserve"> </w:t>
      </w:r>
    </w:p>
    <w:p w:rsidR="00F8335F" w:rsidRDefault="00F8335F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erdőgazdaságok:</w:t>
      </w:r>
      <w:r>
        <w:rPr>
          <w:rFonts w:ascii="Times New Roman" w:hAnsi="Times New Roman" w:cs="Times New Roman"/>
          <w:sz w:val="24"/>
        </w:rPr>
        <w:tab/>
      </w:r>
      <w:r w:rsidR="00C359A5">
        <w:rPr>
          <w:rFonts w:ascii="Times New Roman" w:hAnsi="Times New Roman" w:cs="Times New Roman"/>
          <w:sz w:val="24"/>
        </w:rPr>
        <w:t>74 db, 17,1 %</w:t>
      </w:r>
    </w:p>
    <w:p w:rsidR="004A1511" w:rsidRDefault="004A1511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HM vagyonkezelő: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359A5">
        <w:rPr>
          <w:rFonts w:ascii="Times New Roman" w:hAnsi="Times New Roman" w:cs="Times New Roman"/>
          <w:sz w:val="24"/>
        </w:rPr>
        <w:t>163 db, 37,7 %</w:t>
      </w:r>
    </w:p>
    <w:p w:rsidR="00F8335F" w:rsidRDefault="00F8335F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szektor: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359A5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 xml:space="preserve"> db, </w:t>
      </w:r>
      <w:r w:rsidR="00C359A5">
        <w:rPr>
          <w:rFonts w:ascii="Times New Roman" w:hAnsi="Times New Roman" w:cs="Times New Roman"/>
          <w:sz w:val="24"/>
        </w:rPr>
        <w:t xml:space="preserve">11,1 </w:t>
      </w:r>
      <w:r>
        <w:rPr>
          <w:rFonts w:ascii="Times New Roman" w:hAnsi="Times New Roman" w:cs="Times New Roman"/>
          <w:sz w:val="24"/>
        </w:rPr>
        <w:t>%</w:t>
      </w:r>
    </w:p>
    <w:p w:rsidR="00F8335F" w:rsidRDefault="00C14714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Közösségi szektor: </w:t>
      </w:r>
      <w:r w:rsidR="00F8335F">
        <w:rPr>
          <w:rFonts w:ascii="Times New Roman" w:hAnsi="Times New Roman" w:cs="Times New Roman"/>
          <w:sz w:val="24"/>
        </w:rPr>
        <w:tab/>
      </w:r>
      <w:r w:rsidR="00F8335F">
        <w:rPr>
          <w:rFonts w:ascii="Times New Roman" w:hAnsi="Times New Roman" w:cs="Times New Roman"/>
          <w:sz w:val="24"/>
        </w:rPr>
        <w:tab/>
      </w:r>
      <w:r w:rsidR="00C359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4 db, </w:t>
      </w:r>
      <w:r w:rsidR="00C359A5">
        <w:rPr>
          <w:rFonts w:ascii="Times New Roman" w:hAnsi="Times New Roman" w:cs="Times New Roman"/>
          <w:sz w:val="24"/>
        </w:rPr>
        <w:t xml:space="preserve">7,9 </w:t>
      </w:r>
      <w:r>
        <w:rPr>
          <w:rFonts w:ascii="Times New Roman" w:hAnsi="Times New Roman" w:cs="Times New Roman"/>
          <w:sz w:val="24"/>
        </w:rPr>
        <w:t>%</w:t>
      </w:r>
    </w:p>
    <w:p w:rsidR="00263EC4" w:rsidRPr="008D3731" w:rsidRDefault="00C14714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Magán szektor: </w:t>
      </w:r>
      <w:r w:rsidR="00F8335F">
        <w:rPr>
          <w:rFonts w:ascii="Times New Roman" w:hAnsi="Times New Roman" w:cs="Times New Roman"/>
          <w:sz w:val="24"/>
        </w:rPr>
        <w:tab/>
      </w:r>
      <w:r w:rsidR="00F8335F">
        <w:rPr>
          <w:rFonts w:ascii="Times New Roman" w:hAnsi="Times New Roman" w:cs="Times New Roman"/>
          <w:sz w:val="24"/>
        </w:rPr>
        <w:tab/>
      </w:r>
      <w:r w:rsidR="00C359A5">
        <w:rPr>
          <w:rFonts w:ascii="Times New Roman" w:hAnsi="Times New Roman" w:cs="Times New Roman"/>
          <w:sz w:val="24"/>
        </w:rPr>
        <w:t>105</w:t>
      </w:r>
      <w:r>
        <w:rPr>
          <w:rFonts w:ascii="Times New Roman" w:hAnsi="Times New Roman" w:cs="Times New Roman"/>
          <w:sz w:val="24"/>
        </w:rPr>
        <w:t xml:space="preserve"> db, </w:t>
      </w:r>
      <w:r w:rsidR="00C359A5">
        <w:rPr>
          <w:rFonts w:ascii="Times New Roman" w:hAnsi="Times New Roman" w:cs="Times New Roman"/>
          <w:sz w:val="24"/>
        </w:rPr>
        <w:t xml:space="preserve">24,3 </w:t>
      </w:r>
      <w:r>
        <w:rPr>
          <w:rFonts w:ascii="Times New Roman" w:hAnsi="Times New Roman" w:cs="Times New Roman"/>
          <w:sz w:val="24"/>
        </w:rPr>
        <w:t>%</w:t>
      </w:r>
    </w:p>
    <w:p w:rsidR="00BE6307" w:rsidRPr="008D3731" w:rsidRDefault="00914243" w:rsidP="00BE63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D3731" w:rsidDel="00914243">
        <w:rPr>
          <w:rFonts w:ascii="Times New Roman" w:hAnsi="Times New Roman" w:cs="Times New Roman"/>
          <w:sz w:val="24"/>
        </w:rPr>
        <w:t xml:space="preserve"> </w:t>
      </w: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Ö</w:t>
      </w:r>
      <w:r w:rsidRPr="008D3731">
        <w:rPr>
          <w:rFonts w:eastAsiaTheme="minorHAnsi"/>
          <w:b/>
        </w:rPr>
        <w:t>sszehasonlíthatóság és koherencia:</w:t>
      </w:r>
    </w:p>
    <w:p w:rsidR="00BE6307" w:rsidRPr="008D3731" w:rsidRDefault="00BE6307" w:rsidP="00BE6307">
      <w:pPr>
        <w:jc w:val="both"/>
      </w:pPr>
    </w:p>
    <w:p w:rsidR="00725134" w:rsidRPr="008D3731" w:rsidRDefault="0072513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Az előállított statisztikai adatok és velük kapcsolatban álló más adatok összehasonlítása:</w:t>
      </w:r>
    </w:p>
    <w:p w:rsidR="009A3666" w:rsidRDefault="008462A4" w:rsidP="00BE63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1259-es nyilvántartási számú adatlap országos szinten egyedülálló, vagyis nincs olyan másik forrásból származó adat, amivel a statisztikák összehasonlíthatók lennének. Az adatlapon belüli elemzések, az állami erdőgazdaságok és az egyéb erdőgazdálkodók adatainak összehasonlítása ugyanakkor informatív, hiszen ezek egymástól függetlennek tekinthetők.</w:t>
      </w:r>
    </w:p>
    <w:p w:rsidR="0017493F" w:rsidRDefault="009A3666" w:rsidP="00BE6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vastag tűzifa kivételével a többi fontosabb választék után kapott árbevételi adatok a magán erdőgazdálkodóknál jóval alacsonyabbak (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_Ref12943355 \h  \* MERGEFORMAT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151AB7">
        <w:rPr>
          <w:rFonts w:ascii="Times New Roman" w:hAnsi="Times New Roman"/>
          <w:sz w:val="24"/>
          <w:szCs w:val="24"/>
        </w:rPr>
        <w:t>1. ábra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 Ahogy feljebb említettük, ennek hátterében nem csupán piaci mechanizmusok állhatnak, hanem pontatlan adatszolgáltatás</w:t>
      </w:r>
      <w:r w:rsidR="00A73EFF">
        <w:rPr>
          <w:rFonts w:ascii="Times New Roman" w:hAnsi="Times New Roman"/>
          <w:sz w:val="24"/>
          <w:szCs w:val="24"/>
        </w:rPr>
        <w:t>, valamint módszertani okok</w:t>
      </w:r>
      <w:r>
        <w:rPr>
          <w:rFonts w:ascii="Times New Roman" w:hAnsi="Times New Roman"/>
          <w:sz w:val="24"/>
          <w:szCs w:val="24"/>
        </w:rPr>
        <w:t xml:space="preserve"> is.</w:t>
      </w:r>
      <w:r w:rsidR="0017493F">
        <w:rPr>
          <w:rFonts w:ascii="Times New Roman" w:hAnsi="Times New Roman"/>
          <w:sz w:val="24"/>
          <w:szCs w:val="24"/>
        </w:rPr>
        <w:t xml:space="preserve"> A külföldön értékesített választékhányad jellemzően az állami erdőgazdaságoknál magasabb (</w:t>
      </w:r>
      <w:r w:rsidR="0017493F">
        <w:rPr>
          <w:rFonts w:ascii="Times New Roman" w:hAnsi="Times New Roman"/>
          <w:sz w:val="24"/>
          <w:szCs w:val="24"/>
        </w:rPr>
        <w:fldChar w:fldCharType="begin"/>
      </w:r>
      <w:r w:rsidR="0017493F">
        <w:rPr>
          <w:rFonts w:ascii="Times New Roman" w:hAnsi="Times New Roman"/>
          <w:sz w:val="24"/>
          <w:szCs w:val="24"/>
        </w:rPr>
        <w:instrText xml:space="preserve"> REF _Ref12960518 \h  \* MERGEFORMAT </w:instrText>
      </w:r>
      <w:r w:rsidR="0017493F">
        <w:rPr>
          <w:rFonts w:ascii="Times New Roman" w:hAnsi="Times New Roman"/>
          <w:sz w:val="24"/>
          <w:szCs w:val="24"/>
        </w:rPr>
      </w:r>
      <w:r w:rsidR="0017493F">
        <w:rPr>
          <w:rFonts w:ascii="Times New Roman" w:hAnsi="Times New Roman"/>
          <w:sz w:val="24"/>
          <w:szCs w:val="24"/>
        </w:rPr>
        <w:fldChar w:fldCharType="separate"/>
      </w:r>
      <w:r w:rsidR="0017493F" w:rsidRPr="00151AB7">
        <w:rPr>
          <w:rFonts w:ascii="Times New Roman" w:hAnsi="Times New Roman"/>
          <w:sz w:val="24"/>
          <w:szCs w:val="24"/>
        </w:rPr>
        <w:t>2. ábra</w:t>
      </w:r>
      <w:r w:rsidR="0017493F">
        <w:rPr>
          <w:rFonts w:ascii="Times New Roman" w:hAnsi="Times New Roman"/>
          <w:sz w:val="24"/>
          <w:szCs w:val="24"/>
        </w:rPr>
        <w:fldChar w:fldCharType="end"/>
      </w:r>
      <w:r w:rsidR="0017493F">
        <w:rPr>
          <w:rFonts w:ascii="Times New Roman" w:hAnsi="Times New Roman"/>
          <w:sz w:val="24"/>
          <w:szCs w:val="24"/>
        </w:rPr>
        <w:t>).</w:t>
      </w:r>
    </w:p>
    <w:p w:rsidR="009A3666" w:rsidRDefault="00764687" w:rsidP="009A366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5DCC91B" wp14:editId="7AE02C53">
            <wp:extent cx="5400000" cy="3873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12943355"/>
    <w:p w:rsidR="009A3666" w:rsidRDefault="009A3666" w:rsidP="009A3666">
      <w:pPr>
        <w:pStyle w:val="Kpalrs"/>
        <w:jc w:val="center"/>
        <w:rPr>
          <w:rFonts w:ascii="Times New Roman" w:hAnsi="Times New Roman" w:cs="Times New Roman"/>
          <w:b w:val="0"/>
          <w:color w:val="auto"/>
        </w:rPr>
      </w:pPr>
      <w:r w:rsidRPr="00B109DB">
        <w:rPr>
          <w:rFonts w:ascii="Times New Roman" w:hAnsi="Times New Roman" w:cs="Times New Roman"/>
          <w:color w:val="auto"/>
        </w:rPr>
        <w:fldChar w:fldCharType="begin"/>
      </w:r>
      <w:r w:rsidRPr="00B109DB">
        <w:rPr>
          <w:rFonts w:ascii="Times New Roman" w:hAnsi="Times New Roman" w:cs="Times New Roman"/>
          <w:color w:val="auto"/>
        </w:rPr>
        <w:instrText xml:space="preserve"> SEQ ábra \* ARABIC </w:instrText>
      </w:r>
      <w:r w:rsidRPr="00B109DB">
        <w:rPr>
          <w:rFonts w:ascii="Times New Roman" w:hAnsi="Times New Roman" w:cs="Times New Roman"/>
          <w:color w:val="auto"/>
        </w:rPr>
        <w:fldChar w:fldCharType="separate"/>
      </w:r>
      <w:r w:rsidR="0017493F">
        <w:rPr>
          <w:rFonts w:ascii="Times New Roman" w:hAnsi="Times New Roman" w:cs="Times New Roman"/>
          <w:noProof/>
          <w:color w:val="auto"/>
        </w:rPr>
        <w:t>1</w:t>
      </w:r>
      <w:r w:rsidRPr="00B109DB">
        <w:rPr>
          <w:rFonts w:ascii="Times New Roman" w:hAnsi="Times New Roman" w:cs="Times New Roman"/>
          <w:color w:val="auto"/>
        </w:rPr>
        <w:fldChar w:fldCharType="end"/>
      </w:r>
      <w:r w:rsidRPr="00B109DB">
        <w:rPr>
          <w:rFonts w:ascii="Times New Roman" w:hAnsi="Times New Roman" w:cs="Times New Roman"/>
          <w:color w:val="auto"/>
        </w:rPr>
        <w:t>. ábra</w:t>
      </w:r>
      <w:bookmarkEnd w:id="1"/>
      <w:r w:rsidRPr="00B109D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Bel- és külföldön értékesített erdei fatermékek után kapott árbevétel szektorbontásban.</w:t>
      </w:r>
    </w:p>
    <w:p w:rsidR="008462A4" w:rsidRDefault="00202CDE" w:rsidP="00151AB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E7E38E1" wp14:editId="5E2D9B56">
            <wp:extent cx="5400000" cy="3873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12960518"/>
    <w:p w:rsidR="008462A4" w:rsidRPr="00151AB7" w:rsidRDefault="0017493F" w:rsidP="00151AB7">
      <w:pPr>
        <w:pStyle w:val="Kpalrs"/>
        <w:jc w:val="center"/>
        <w:rPr>
          <w:rFonts w:ascii="Times New Roman" w:hAnsi="Times New Roman" w:cs="Times New Roman"/>
          <w:noProof/>
        </w:rPr>
      </w:pPr>
      <w:r w:rsidRPr="00151AB7">
        <w:rPr>
          <w:rFonts w:ascii="Times New Roman" w:hAnsi="Times New Roman" w:cs="Times New Roman"/>
          <w:noProof/>
          <w:color w:val="auto"/>
        </w:rPr>
        <w:fldChar w:fldCharType="begin"/>
      </w:r>
      <w:r w:rsidRPr="00151AB7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151AB7">
        <w:rPr>
          <w:rFonts w:ascii="Times New Roman" w:hAnsi="Times New Roman" w:cs="Times New Roman"/>
          <w:noProof/>
          <w:color w:val="auto"/>
        </w:rPr>
        <w:fldChar w:fldCharType="separate"/>
      </w:r>
      <w:r w:rsidRPr="00151AB7">
        <w:rPr>
          <w:rFonts w:ascii="Times New Roman" w:hAnsi="Times New Roman" w:cs="Times New Roman"/>
          <w:noProof/>
          <w:color w:val="auto"/>
        </w:rPr>
        <w:t>2</w:t>
      </w:r>
      <w:r w:rsidRPr="00151AB7">
        <w:rPr>
          <w:rFonts w:ascii="Times New Roman" w:hAnsi="Times New Roman" w:cs="Times New Roman"/>
          <w:noProof/>
          <w:color w:val="auto"/>
        </w:rPr>
        <w:fldChar w:fldCharType="end"/>
      </w:r>
      <w:r w:rsidRPr="00151AB7">
        <w:rPr>
          <w:rFonts w:ascii="Times New Roman" w:hAnsi="Times New Roman" w:cs="Times New Roman"/>
          <w:noProof/>
          <w:color w:val="auto"/>
        </w:rPr>
        <w:t>. ábra</w:t>
      </w:r>
      <w:bookmarkEnd w:id="2"/>
      <w:r w:rsidRPr="00151AB7">
        <w:rPr>
          <w:rFonts w:ascii="Times New Roman" w:hAnsi="Times New Roman" w:cs="Times New Roman"/>
          <w:noProof/>
          <w:color w:val="auto"/>
        </w:rPr>
        <w:t xml:space="preserve"> </w:t>
      </w:r>
      <w:r w:rsidRPr="00151AB7">
        <w:rPr>
          <w:rFonts w:ascii="Times New Roman" w:hAnsi="Times New Roman" w:cs="Times New Roman"/>
          <w:b w:val="0"/>
          <w:noProof/>
          <w:color w:val="auto"/>
        </w:rPr>
        <w:t>A külföldön értékesített fatérfogat aránya.</w:t>
      </w:r>
    </w:p>
    <w:p w:rsidR="007408D0" w:rsidRPr="008D3731" w:rsidRDefault="00623D66" w:rsidP="0057127A">
      <w:pPr>
        <w:jc w:val="both"/>
        <w:rPr>
          <w:rFonts w:ascii="Times New Roman" w:hAnsi="Times New Roman" w:cs="Times New Roman"/>
          <w:sz w:val="24"/>
        </w:rPr>
      </w:pPr>
      <w:r w:rsidRPr="00D24AB7">
        <w:rPr>
          <w:rFonts w:ascii="Times New Roman" w:hAnsi="Times New Roman" w:cs="Times New Roman"/>
          <w:b/>
          <w:sz w:val="24"/>
        </w:rPr>
        <w:lastRenderedPageBreak/>
        <w:t>Időbeli összehasonlítás</w:t>
      </w:r>
      <w:r w:rsidRPr="008D3731">
        <w:rPr>
          <w:rFonts w:ascii="Times New Roman" w:hAnsi="Times New Roman" w:cs="Times New Roman"/>
          <w:sz w:val="24"/>
        </w:rPr>
        <w:t>: a gazdasági, szakpolitikai és egyéb körülmények alapján az adatok időbeli változása elfogadható, magyarázható-e</w:t>
      </w:r>
      <w:r w:rsidR="00894977" w:rsidRPr="008D3731">
        <w:rPr>
          <w:rFonts w:ascii="Times New Roman" w:hAnsi="Times New Roman" w:cs="Times New Roman"/>
          <w:sz w:val="24"/>
        </w:rPr>
        <w:t>:</w:t>
      </w:r>
    </w:p>
    <w:p w:rsidR="007408D0" w:rsidRPr="008D3731" w:rsidRDefault="00CF211E" w:rsidP="0057127A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Az adott évi nettó fakitermelést, választékszerkezetet</w:t>
      </w:r>
      <w:r>
        <w:rPr>
          <w:rFonts w:ascii="Times New Roman" w:hAnsi="Times New Roman" w:cs="Times New Roman"/>
          <w:sz w:val="24"/>
        </w:rPr>
        <w:t>, azok értékesítését és a kapott árbevételt</w:t>
      </w:r>
      <w:r w:rsidRPr="00381CB6">
        <w:rPr>
          <w:rFonts w:ascii="Times New Roman" w:hAnsi="Times New Roman" w:cs="Times New Roman"/>
          <w:sz w:val="24"/>
        </w:rPr>
        <w:t xml:space="preserve"> egyrészt a fahasználati (fakitermelési) lehetőségek, másrészt a piac határozza meg. Egyik évről a másikra hirtelen változást legfeljebb egy váratlan esemény (pl. természeti katasztrófa) okozhat. Ilyen változást az idei évben nem tapasztaltunk. </w:t>
      </w:r>
      <w:r>
        <w:rPr>
          <w:rFonts w:ascii="Times New Roman" w:hAnsi="Times New Roman" w:cs="Times New Roman"/>
          <w:sz w:val="24"/>
        </w:rPr>
        <w:t>A tavalyi adatokkal való összehasonlítást a statisztikai közleményben adjuk közre.</w:t>
      </w:r>
    </w:p>
    <w:p w:rsidR="00AF32D2" w:rsidRPr="008D3731" w:rsidRDefault="00AF32D2" w:rsidP="0057127A">
      <w:pPr>
        <w:ind w:firstLine="708"/>
        <w:jc w:val="center"/>
        <w:rPr>
          <w:u w:val="single"/>
        </w:rPr>
      </w:pPr>
    </w:p>
    <w:sectPr w:rsidR="00AF32D2" w:rsidRPr="008D3731" w:rsidSect="005F2E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5" w:rsidRDefault="006751E5" w:rsidP="00914243">
      <w:pPr>
        <w:spacing w:after="0" w:line="240" w:lineRule="auto"/>
      </w:pPr>
      <w:r>
        <w:separator/>
      </w:r>
    </w:p>
  </w:endnote>
  <w:endnote w:type="continuationSeparator" w:id="0">
    <w:p w:rsidR="006751E5" w:rsidRDefault="006751E5" w:rsidP="009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998"/>
      <w:docPartObj>
        <w:docPartGallery w:val="Page Numbers (Bottom of Page)"/>
        <w:docPartUnique/>
      </w:docPartObj>
    </w:sdtPr>
    <w:sdtEndPr/>
    <w:sdtContent>
      <w:p w:rsidR="00914243" w:rsidRDefault="00D9307C">
        <w:pPr>
          <w:pStyle w:val="llb"/>
          <w:jc w:val="center"/>
        </w:pPr>
        <w:r>
          <w:fldChar w:fldCharType="begin"/>
        </w:r>
        <w:r w:rsidR="00914243">
          <w:instrText xml:space="preserve"> PAGE   \* MERGEFORMAT </w:instrText>
        </w:r>
        <w:r>
          <w:fldChar w:fldCharType="separate"/>
        </w:r>
        <w:r w:rsidR="00AA5DD2">
          <w:rPr>
            <w:noProof/>
          </w:rPr>
          <w:t>5</w:t>
        </w:r>
        <w:r>
          <w:fldChar w:fldCharType="end"/>
        </w:r>
      </w:p>
    </w:sdtContent>
  </w:sdt>
  <w:p w:rsidR="00914243" w:rsidRDefault="00914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5" w:rsidRDefault="006751E5" w:rsidP="00914243">
      <w:pPr>
        <w:spacing w:after="0" w:line="240" w:lineRule="auto"/>
      </w:pPr>
      <w:r>
        <w:separator/>
      </w:r>
    </w:p>
  </w:footnote>
  <w:footnote w:type="continuationSeparator" w:id="0">
    <w:p w:rsidR="006751E5" w:rsidRDefault="006751E5" w:rsidP="00914243">
      <w:pPr>
        <w:spacing w:after="0" w:line="240" w:lineRule="auto"/>
      </w:pPr>
      <w:r>
        <w:continuationSeparator/>
      </w:r>
    </w:p>
  </w:footnote>
  <w:footnote w:id="1">
    <w:p w:rsidR="007A104C" w:rsidRPr="007A104C" w:rsidRDefault="007A104C" w:rsidP="007A104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– a védett adatokkal kapcsolatosak kivételével – az állami erdőgazdaságok magukban foglalják a HM vagyonkezelő által művelt erdőket is.</w:t>
      </w:r>
    </w:p>
  </w:footnote>
  <w:footnote w:id="2">
    <w:p w:rsidR="004A1511" w:rsidRPr="007A104C" w:rsidRDefault="004A1511" w:rsidP="007A104C">
      <w:pPr>
        <w:pStyle w:val="Lbjegyzetszveg"/>
        <w:jc w:val="both"/>
        <w:rPr>
          <w:rFonts w:ascii="Times New Roman" w:hAnsi="Times New Roman" w:cs="Times New Roman"/>
        </w:rPr>
      </w:pPr>
      <w:r w:rsidRPr="007A104C">
        <w:rPr>
          <w:rStyle w:val="Lbjegyzet-hivatkozs"/>
          <w:rFonts w:ascii="Times New Roman" w:hAnsi="Times New Roman" w:cs="Times New Roman"/>
        </w:rPr>
        <w:footnoteRef/>
      </w:r>
      <w:r w:rsidRPr="007A104C">
        <w:rPr>
          <w:rFonts w:ascii="Times New Roman" w:hAnsi="Times New Roman" w:cs="Times New Roman"/>
        </w:rPr>
        <w:t xml:space="preserve"> Az egyszerűség kedvéért az „egyéb erdőgazdálkodók” és a „magán erdőgazdálkodók” kifejezéseket </w:t>
      </w:r>
      <w:r w:rsidR="0000191D" w:rsidRPr="007A104C">
        <w:rPr>
          <w:rFonts w:ascii="Times New Roman" w:hAnsi="Times New Roman" w:cs="Times New Roman"/>
        </w:rPr>
        <w:t>szinonimaként</w:t>
      </w:r>
      <w:r w:rsidRPr="007A104C">
        <w:rPr>
          <w:rFonts w:ascii="Times New Roman" w:hAnsi="Times New Roman" w:cs="Times New Roman"/>
        </w:rPr>
        <w:t xml:space="preserve"> használjuk a jelentésben, hiszen a nem állami erdőgazdaságokhoz tartozó erdőgazdálkodók túlnyomó része a magánszektorhoz tartozik.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9E"/>
    <w:multiLevelType w:val="hybridMultilevel"/>
    <w:tmpl w:val="58E6C8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C0"/>
    <w:multiLevelType w:val="hybridMultilevel"/>
    <w:tmpl w:val="DAD825F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51974"/>
    <w:multiLevelType w:val="hybridMultilevel"/>
    <w:tmpl w:val="67F801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191D"/>
    <w:rsid w:val="00024C6D"/>
    <w:rsid w:val="000B7172"/>
    <w:rsid w:val="000D345E"/>
    <w:rsid w:val="000D3EE2"/>
    <w:rsid w:val="000F747D"/>
    <w:rsid w:val="00127AD9"/>
    <w:rsid w:val="00151641"/>
    <w:rsid w:val="00151AB7"/>
    <w:rsid w:val="001521C1"/>
    <w:rsid w:val="00156CFF"/>
    <w:rsid w:val="001723CB"/>
    <w:rsid w:val="0017493F"/>
    <w:rsid w:val="00184813"/>
    <w:rsid w:val="001A2D42"/>
    <w:rsid w:val="001A3682"/>
    <w:rsid w:val="001B7477"/>
    <w:rsid w:val="001E4836"/>
    <w:rsid w:val="001F2B45"/>
    <w:rsid w:val="001F5E08"/>
    <w:rsid w:val="00202CDE"/>
    <w:rsid w:val="00227B6B"/>
    <w:rsid w:val="00263EC4"/>
    <w:rsid w:val="002B3E88"/>
    <w:rsid w:val="002C1ED7"/>
    <w:rsid w:val="002E5ACE"/>
    <w:rsid w:val="002F1BC2"/>
    <w:rsid w:val="003432F0"/>
    <w:rsid w:val="00364C43"/>
    <w:rsid w:val="00375368"/>
    <w:rsid w:val="00391815"/>
    <w:rsid w:val="00394973"/>
    <w:rsid w:val="00396BC2"/>
    <w:rsid w:val="003B21AC"/>
    <w:rsid w:val="003F77E3"/>
    <w:rsid w:val="00421FBC"/>
    <w:rsid w:val="0046184F"/>
    <w:rsid w:val="004A1511"/>
    <w:rsid w:val="004B5AE8"/>
    <w:rsid w:val="004B7D29"/>
    <w:rsid w:val="00544092"/>
    <w:rsid w:val="00566B5C"/>
    <w:rsid w:val="00567832"/>
    <w:rsid w:val="0057127A"/>
    <w:rsid w:val="0059135A"/>
    <w:rsid w:val="005C3A82"/>
    <w:rsid w:val="005F2EFB"/>
    <w:rsid w:val="00623D66"/>
    <w:rsid w:val="00637383"/>
    <w:rsid w:val="006751E5"/>
    <w:rsid w:val="00681427"/>
    <w:rsid w:val="00685EA5"/>
    <w:rsid w:val="006A2A74"/>
    <w:rsid w:val="006A5069"/>
    <w:rsid w:val="006C58A5"/>
    <w:rsid w:val="006D59CD"/>
    <w:rsid w:val="007110DA"/>
    <w:rsid w:val="00725134"/>
    <w:rsid w:val="007408D0"/>
    <w:rsid w:val="00743443"/>
    <w:rsid w:val="00761485"/>
    <w:rsid w:val="00764687"/>
    <w:rsid w:val="0076592F"/>
    <w:rsid w:val="007A104C"/>
    <w:rsid w:val="007A3E74"/>
    <w:rsid w:val="007B59DE"/>
    <w:rsid w:val="007B7843"/>
    <w:rsid w:val="0080014B"/>
    <w:rsid w:val="0083019D"/>
    <w:rsid w:val="008462A4"/>
    <w:rsid w:val="00870DB8"/>
    <w:rsid w:val="008838FB"/>
    <w:rsid w:val="00894977"/>
    <w:rsid w:val="00895299"/>
    <w:rsid w:val="008C3D13"/>
    <w:rsid w:val="008D3731"/>
    <w:rsid w:val="00914243"/>
    <w:rsid w:val="00936F64"/>
    <w:rsid w:val="00945F37"/>
    <w:rsid w:val="009A3666"/>
    <w:rsid w:val="009C44C4"/>
    <w:rsid w:val="009D18A1"/>
    <w:rsid w:val="009D2EBE"/>
    <w:rsid w:val="009F4796"/>
    <w:rsid w:val="00A042D3"/>
    <w:rsid w:val="00A15A77"/>
    <w:rsid w:val="00A72198"/>
    <w:rsid w:val="00A73EFF"/>
    <w:rsid w:val="00AA5DD2"/>
    <w:rsid w:val="00AB3FA1"/>
    <w:rsid w:val="00AC4317"/>
    <w:rsid w:val="00AD5F86"/>
    <w:rsid w:val="00AF32D2"/>
    <w:rsid w:val="00AF3534"/>
    <w:rsid w:val="00B02B84"/>
    <w:rsid w:val="00B32CBA"/>
    <w:rsid w:val="00B3508A"/>
    <w:rsid w:val="00B50280"/>
    <w:rsid w:val="00B5790D"/>
    <w:rsid w:val="00BD52CA"/>
    <w:rsid w:val="00BE5848"/>
    <w:rsid w:val="00BE6307"/>
    <w:rsid w:val="00BE69CC"/>
    <w:rsid w:val="00C0200E"/>
    <w:rsid w:val="00C14714"/>
    <w:rsid w:val="00C16707"/>
    <w:rsid w:val="00C359A5"/>
    <w:rsid w:val="00C63EA5"/>
    <w:rsid w:val="00C86FA3"/>
    <w:rsid w:val="00C9757C"/>
    <w:rsid w:val="00CF19C8"/>
    <w:rsid w:val="00CF211E"/>
    <w:rsid w:val="00CF23F2"/>
    <w:rsid w:val="00D24AB7"/>
    <w:rsid w:val="00D64FF6"/>
    <w:rsid w:val="00D773FE"/>
    <w:rsid w:val="00D84D51"/>
    <w:rsid w:val="00D875A8"/>
    <w:rsid w:val="00D90665"/>
    <w:rsid w:val="00D91799"/>
    <w:rsid w:val="00D9307C"/>
    <w:rsid w:val="00DA615B"/>
    <w:rsid w:val="00DB0F24"/>
    <w:rsid w:val="00DC1FDF"/>
    <w:rsid w:val="00DD119B"/>
    <w:rsid w:val="00DF1409"/>
    <w:rsid w:val="00DF1EA0"/>
    <w:rsid w:val="00DF6CE4"/>
    <w:rsid w:val="00E00913"/>
    <w:rsid w:val="00E01901"/>
    <w:rsid w:val="00E01A14"/>
    <w:rsid w:val="00E1383A"/>
    <w:rsid w:val="00E3410A"/>
    <w:rsid w:val="00E95462"/>
    <w:rsid w:val="00EB22A3"/>
    <w:rsid w:val="00ED76E2"/>
    <w:rsid w:val="00F06E99"/>
    <w:rsid w:val="00F158E6"/>
    <w:rsid w:val="00F44647"/>
    <w:rsid w:val="00F64FD6"/>
    <w:rsid w:val="00F66E95"/>
    <w:rsid w:val="00F71861"/>
    <w:rsid w:val="00F72A54"/>
    <w:rsid w:val="00F8335F"/>
    <w:rsid w:val="00F85AC1"/>
    <w:rsid w:val="00F87068"/>
    <w:rsid w:val="00FA767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DE3E-1C03-4B6F-B179-55B1675C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779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30</cp:revision>
  <dcterms:created xsi:type="dcterms:W3CDTF">2019-06-26T15:23:00Z</dcterms:created>
  <dcterms:modified xsi:type="dcterms:W3CDTF">2019-07-05T13:24:00Z</dcterms:modified>
</cp:coreProperties>
</file>