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proofErr w:type="gramStart"/>
      <w:r w:rsidRPr="006B1F68">
        <w:rPr>
          <w:rFonts w:ascii="Times New Roman" w:hAnsi="Times New Roman" w:cs="Times New Roman"/>
        </w:rPr>
        <w:t>a</w:t>
      </w:r>
      <w:r w:rsidR="009D4C5A">
        <w:rPr>
          <w:rFonts w:ascii="Times New Roman" w:hAnsi="Times New Roman" w:cs="Times New Roman"/>
        </w:rPr>
        <w:t>z</w:t>
      </w:r>
      <w:proofErr w:type="gramEnd"/>
      <w:r w:rsidRPr="006B1F68">
        <w:rPr>
          <w:rFonts w:ascii="Times New Roman" w:hAnsi="Times New Roman" w:cs="Times New Roman"/>
          <w:i/>
        </w:rPr>
        <w:t xml:space="preserve"> „</w:t>
      </w:r>
      <w:r w:rsidR="00B01AE1" w:rsidRPr="00B01AE1">
        <w:rPr>
          <w:rFonts w:ascii="Times New Roman" w:hAnsi="Times New Roman" w:cs="Times New Roman"/>
          <w:i/>
        </w:rPr>
        <w:t>Erdei</w:t>
      </w:r>
      <w:r w:rsidR="00B01AE1">
        <w:rPr>
          <w:rFonts w:ascii="Times New Roman" w:hAnsi="Times New Roman" w:cs="Times New Roman"/>
          <w:i/>
        </w:rPr>
        <w:t xml:space="preserve"> </w:t>
      </w:r>
      <w:r w:rsidR="00B01AE1" w:rsidRPr="00B01AE1">
        <w:rPr>
          <w:rFonts w:ascii="Times New Roman" w:hAnsi="Times New Roman" w:cs="Times New Roman"/>
          <w:i/>
        </w:rPr>
        <w:t>faválasztékok</w:t>
      </w:r>
      <w:r w:rsidR="00B01AE1">
        <w:rPr>
          <w:rFonts w:ascii="Times New Roman" w:hAnsi="Times New Roman" w:cs="Times New Roman"/>
          <w:i/>
        </w:rPr>
        <w:t xml:space="preserve"> </w:t>
      </w:r>
      <w:r w:rsidR="00B01AE1" w:rsidRPr="00B01AE1">
        <w:rPr>
          <w:rFonts w:ascii="Times New Roman" w:hAnsi="Times New Roman" w:cs="Times New Roman"/>
          <w:i/>
        </w:rPr>
        <w:t>értékesítési</w:t>
      </w:r>
      <w:r w:rsidR="00B01AE1">
        <w:rPr>
          <w:rFonts w:ascii="Times New Roman" w:hAnsi="Times New Roman" w:cs="Times New Roman"/>
          <w:i/>
        </w:rPr>
        <w:t xml:space="preserve"> </w:t>
      </w:r>
      <w:r w:rsidR="00B01AE1" w:rsidRPr="00B01AE1">
        <w:rPr>
          <w:rFonts w:ascii="Times New Roman" w:hAnsi="Times New Roman" w:cs="Times New Roman"/>
          <w:i/>
        </w:rPr>
        <w:t>árai</w:t>
      </w:r>
      <w:r w:rsidRPr="006B1F68">
        <w:rPr>
          <w:rFonts w:ascii="Times New Roman" w:hAnsi="Times New Roman" w:cs="Times New Roman"/>
          <w:i/>
        </w:rPr>
        <w:t>” c.</w:t>
      </w:r>
      <w:r>
        <w:rPr>
          <w:rFonts w:ascii="Times New Roman" w:hAnsi="Times New Roman" w:cs="Times New Roman"/>
          <w:i/>
        </w:rPr>
        <w:t xml:space="preserve"> </w:t>
      </w:r>
      <w:r w:rsidRPr="00996EC9">
        <w:rPr>
          <w:rFonts w:ascii="Times New Roman" w:hAnsi="Times New Roman" w:cs="Times New Roman"/>
        </w:rPr>
        <w:t>(OSAP 125</w:t>
      </w:r>
      <w:r w:rsidR="009D4C5A">
        <w:rPr>
          <w:rFonts w:ascii="Times New Roman" w:hAnsi="Times New Roman" w:cs="Times New Roman"/>
        </w:rPr>
        <w:t>9</w:t>
      </w:r>
      <w:r w:rsidR="00A82EEA">
        <w:rPr>
          <w:rFonts w:ascii="Times New Roman" w:hAnsi="Times New Roman" w:cs="Times New Roman"/>
        </w:rPr>
        <w:t>/</w:t>
      </w:r>
      <w:r w:rsidR="00B01AE1">
        <w:rPr>
          <w:rFonts w:ascii="Times New Roman" w:hAnsi="Times New Roman" w:cs="Times New Roman"/>
        </w:rPr>
        <w:t>2</w:t>
      </w:r>
      <w:r w:rsidRPr="00996EC9">
        <w:rPr>
          <w:rFonts w:ascii="Times New Roman" w:hAnsi="Times New Roman" w:cs="Times New Roman"/>
        </w:rPr>
        <w:t>)</w:t>
      </w:r>
    </w:p>
    <w:p w:rsidR="003F7FC0" w:rsidRPr="006B1F68" w:rsidRDefault="004A2B78" w:rsidP="003F7F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3F7FC0" w:rsidRPr="006B1F68">
        <w:rPr>
          <w:rFonts w:ascii="Times New Roman" w:hAnsi="Times New Roman" w:cs="Times New Roman"/>
          <w:b/>
        </w:rPr>
        <w:t>. évi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proofErr w:type="gramStart"/>
      <w:r w:rsidRPr="006B1F68">
        <w:rPr>
          <w:rFonts w:ascii="Times New Roman" w:hAnsi="Times New Roman" w:cs="Times New Roman"/>
          <w:b/>
        </w:rPr>
        <w:t>adatgyűjtésről</w:t>
      </w:r>
      <w:proofErr w:type="gramEnd"/>
    </w:p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E56BE2" w:rsidRDefault="00A82EEA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adatgyűjtés célja </w:t>
      </w:r>
      <w:r w:rsidR="00B01AE1">
        <w:rPr>
          <w:rFonts w:ascii="Times New Roman" w:hAnsi="Times New Roman" w:cs="Times New Roman"/>
          <w:sz w:val="24"/>
          <w:szCs w:val="24"/>
        </w:rPr>
        <w:t xml:space="preserve">jól definiált (meghatározott minőségű és </w:t>
      </w:r>
      <w:proofErr w:type="spellStart"/>
      <w:r w:rsidR="00B01AE1">
        <w:rPr>
          <w:rFonts w:ascii="Times New Roman" w:hAnsi="Times New Roman" w:cs="Times New Roman"/>
          <w:sz w:val="24"/>
          <w:szCs w:val="24"/>
        </w:rPr>
        <w:t>feldolgozottsági</w:t>
      </w:r>
      <w:proofErr w:type="spellEnd"/>
      <w:r w:rsidR="00B01AE1">
        <w:rPr>
          <w:rFonts w:ascii="Times New Roman" w:hAnsi="Times New Roman" w:cs="Times New Roman"/>
          <w:sz w:val="24"/>
          <w:szCs w:val="24"/>
        </w:rPr>
        <w:t xml:space="preserve"> szintű, adott helyen értékesített) erdei fatermékek átlagos árának a becslése</w:t>
      </w:r>
      <w:r>
        <w:rPr>
          <w:rFonts w:ascii="Times New Roman" w:hAnsi="Times New Roman" w:cs="Times New Roman"/>
          <w:sz w:val="24"/>
          <w:szCs w:val="24"/>
        </w:rPr>
        <w:t xml:space="preserve">. Az adatgyűjtés kombinált típusú, ami azt jelenti, hogy az állami </w:t>
      </w:r>
      <w:r w:rsidR="0026453F">
        <w:rPr>
          <w:rFonts w:ascii="Times New Roman" w:hAnsi="Times New Roman" w:cs="Times New Roman"/>
          <w:sz w:val="24"/>
          <w:szCs w:val="24"/>
        </w:rPr>
        <w:t>szektorra</w:t>
      </w:r>
      <w:r>
        <w:rPr>
          <w:rFonts w:ascii="Times New Roman" w:hAnsi="Times New Roman" w:cs="Times New Roman"/>
          <w:sz w:val="24"/>
          <w:szCs w:val="24"/>
        </w:rPr>
        <w:t xml:space="preserve"> nézve teljes körű, </w:t>
      </w:r>
      <w:r w:rsidR="0026453F">
        <w:rPr>
          <w:rFonts w:ascii="Times New Roman" w:hAnsi="Times New Roman" w:cs="Times New Roman"/>
          <w:sz w:val="24"/>
          <w:szCs w:val="24"/>
        </w:rPr>
        <w:t>a magánszektor (beleértve a közösségi szektort is)</w:t>
      </w:r>
      <w:r>
        <w:rPr>
          <w:rFonts w:ascii="Times New Roman" w:hAnsi="Times New Roman" w:cs="Times New Roman"/>
          <w:sz w:val="24"/>
          <w:szCs w:val="24"/>
        </w:rPr>
        <w:t xml:space="preserve"> esetében pedig mintavételezésen alapuló. A mintavételezés során a statisztikai értelemben vett alapsokaságot azon erdőgazdálkodók adatai képezik, akik az adott évre vonatkozólag bejelentett fakitermeléssel rendelkeznek. A mintába kerülő erdőgazdálkodókat véletlenszerűen választjuk ki, ami a reprez</w:t>
      </w:r>
      <w:r w:rsidR="00B01AE1">
        <w:rPr>
          <w:rFonts w:ascii="Times New Roman" w:hAnsi="Times New Roman" w:cs="Times New Roman"/>
          <w:sz w:val="24"/>
          <w:szCs w:val="24"/>
        </w:rPr>
        <w:t>entativitás alapvető feltétele.</w:t>
      </w:r>
      <w:r w:rsidR="002A4409">
        <w:rPr>
          <w:rFonts w:ascii="Times New Roman" w:hAnsi="Times New Roman" w:cs="Times New Roman"/>
          <w:sz w:val="24"/>
          <w:szCs w:val="24"/>
        </w:rPr>
        <w:t xml:space="preserve"> </w:t>
      </w:r>
      <w:r w:rsidR="00E56BE2">
        <w:rPr>
          <w:rFonts w:ascii="Times New Roman" w:hAnsi="Times New Roman" w:cs="Times New Roman"/>
          <w:sz w:val="24"/>
          <w:szCs w:val="24"/>
        </w:rPr>
        <w:t>Az adatlapo</w:t>
      </w:r>
      <w:r w:rsidR="00B01AE1">
        <w:rPr>
          <w:rFonts w:ascii="Times New Roman" w:hAnsi="Times New Roman" w:cs="Times New Roman"/>
          <w:sz w:val="24"/>
          <w:szCs w:val="24"/>
        </w:rPr>
        <w:t>kon nettó árstatisztikákat gyűjtünk választéktípusonként. Fontos sajátság</w:t>
      </w:r>
      <w:r w:rsidR="00CE34A3">
        <w:rPr>
          <w:rFonts w:ascii="Times New Roman" w:hAnsi="Times New Roman" w:cs="Times New Roman"/>
          <w:sz w:val="24"/>
          <w:szCs w:val="24"/>
        </w:rPr>
        <w:t xml:space="preserve">, hogy a beküldött adatok nem feltétlenül tényadatok, hanem </w:t>
      </w:r>
      <w:proofErr w:type="gramStart"/>
      <w:r w:rsidR="00CE34A3">
        <w:rPr>
          <w:rFonts w:ascii="Times New Roman" w:hAnsi="Times New Roman" w:cs="Times New Roman"/>
          <w:sz w:val="24"/>
          <w:szCs w:val="24"/>
        </w:rPr>
        <w:t>árjegyzéken</w:t>
      </w:r>
      <w:proofErr w:type="gramEnd"/>
      <w:r w:rsidR="00CE34A3">
        <w:rPr>
          <w:rFonts w:ascii="Times New Roman" w:hAnsi="Times New Roman" w:cs="Times New Roman"/>
          <w:sz w:val="24"/>
          <w:szCs w:val="24"/>
        </w:rPr>
        <w:t xml:space="preserve"> ill. kalkuláción is alapulhatnak. </w:t>
      </w:r>
      <w:r w:rsidR="0026453F">
        <w:rPr>
          <w:rFonts w:ascii="Times New Roman" w:hAnsi="Times New Roman" w:cs="Times New Roman"/>
          <w:sz w:val="24"/>
          <w:szCs w:val="24"/>
        </w:rPr>
        <w:t xml:space="preserve">Az adatgyűjtés részletesebb módszertani leírása megtalálható a </w:t>
      </w:r>
      <w:hyperlink r:id="rId9" w:history="1">
        <w:r w:rsidR="0026453F" w:rsidRPr="0026453F">
          <w:rPr>
            <w:rStyle w:val="Hiperhivatkozs"/>
            <w:rFonts w:ascii="Times New Roman" w:hAnsi="Times New Roman" w:cs="Times New Roman"/>
            <w:sz w:val="24"/>
            <w:szCs w:val="24"/>
          </w:rPr>
          <w:t>metaadatokban</w:t>
        </w:r>
      </w:hyperlink>
      <w:r w:rsidR="0026453F">
        <w:rPr>
          <w:rFonts w:ascii="Times New Roman" w:hAnsi="Times New Roman" w:cs="Times New Roman"/>
          <w:sz w:val="24"/>
          <w:szCs w:val="24"/>
        </w:rPr>
        <w:t>.</w:t>
      </w:r>
      <w:r w:rsidR="00DD2765">
        <w:rPr>
          <w:rFonts w:ascii="Times New Roman" w:hAnsi="Times New Roman" w:cs="Times New Roman"/>
          <w:sz w:val="24"/>
          <w:szCs w:val="24"/>
        </w:rPr>
        <w:t xml:space="preserve"> </w:t>
      </w:r>
      <w:r w:rsidR="00B749C5">
        <w:rPr>
          <w:rFonts w:ascii="Times New Roman" w:hAnsi="Times New Roman" w:cs="Times New Roman"/>
          <w:sz w:val="24"/>
          <w:szCs w:val="24"/>
        </w:rPr>
        <w:t>Tekintettel a mintavételi módszer megváltoztatására, a tavalyi adatokkal való összehasonlítást csupán</w:t>
      </w:r>
      <w:r w:rsidR="00C54CE2">
        <w:rPr>
          <w:rFonts w:ascii="Times New Roman" w:hAnsi="Times New Roman" w:cs="Times New Roman"/>
          <w:sz w:val="24"/>
          <w:szCs w:val="24"/>
        </w:rPr>
        <w:t xml:space="preserve"> az állami erdőgazdaságok példáján mutatjuk be.</w:t>
      </w:r>
    </w:p>
    <w:p w:rsidR="00DD2765" w:rsidRDefault="00DD2765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értékelésekor </w:t>
      </w:r>
      <w:r w:rsidR="00C755DA">
        <w:rPr>
          <w:rFonts w:ascii="Times New Roman" w:hAnsi="Times New Roman" w:cs="Times New Roman"/>
          <w:sz w:val="24"/>
          <w:szCs w:val="24"/>
        </w:rPr>
        <w:t xml:space="preserve">a magánszektor esetében </w:t>
      </w:r>
      <w:r>
        <w:rPr>
          <w:rFonts w:ascii="Times New Roman" w:hAnsi="Times New Roman" w:cs="Times New Roman"/>
          <w:sz w:val="24"/>
          <w:szCs w:val="24"/>
        </w:rPr>
        <w:t xml:space="preserve">figyelembe kell venni a tárgyévi viszonylag kis mintanagyságot, amelynek oka egyrészt a mintavételi módszer megváltoztatása, másrészt az alacsony válaszadási arány (ld. a tárgyévi </w:t>
      </w:r>
      <w:hyperlink r:id="rId10" w:history="1">
        <w:r w:rsidRPr="00DD2765">
          <w:rPr>
            <w:rStyle w:val="Hiperhivatkozs"/>
            <w:rFonts w:ascii="Times New Roman" w:hAnsi="Times New Roman" w:cs="Times New Roman"/>
            <w:sz w:val="24"/>
            <w:szCs w:val="24"/>
          </w:rPr>
          <w:t>minőségjelentésben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 mintanagyság a mintavételi hiba növekedését idézi elő, melynek mértékét a konfidencia intervallumokkal jellemezhetjük. Tekintettel arra, hogy az állami szektor mintavétele teljes körű, mintavételi hiba </w:t>
      </w:r>
      <w:r w:rsidR="00221F22">
        <w:rPr>
          <w:rFonts w:ascii="Times New Roman" w:hAnsi="Times New Roman" w:cs="Times New Roman"/>
          <w:sz w:val="24"/>
          <w:szCs w:val="24"/>
        </w:rPr>
        <w:t>itt nem fordul elő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110">
        <w:rPr>
          <w:rFonts w:ascii="Times New Roman" w:hAnsi="Times New Roman" w:cs="Times New Roman"/>
          <w:sz w:val="24"/>
          <w:szCs w:val="24"/>
        </w:rPr>
        <w:t xml:space="preserve"> Abban az esetben, ha az állami szektorra számított statisztika a magánszektorra számolt konfidencia intervallumon belül helyezkedik el, a két szektor közötti különbség statisztikai szempontból nem szignifikáns, ami azt jelenti, hogy az adott megbízhatósági szinten nem állítható, hogy a talált különbség </w:t>
      </w:r>
      <w:r w:rsidR="00C755DA">
        <w:rPr>
          <w:rFonts w:ascii="Times New Roman" w:hAnsi="Times New Roman" w:cs="Times New Roman"/>
          <w:sz w:val="24"/>
          <w:szCs w:val="24"/>
        </w:rPr>
        <w:t>nem csupán</w:t>
      </w:r>
      <w:r w:rsidR="00060110">
        <w:rPr>
          <w:rFonts w:ascii="Times New Roman" w:hAnsi="Times New Roman" w:cs="Times New Roman"/>
          <w:sz w:val="24"/>
          <w:szCs w:val="24"/>
        </w:rPr>
        <w:t xml:space="preserve"> a mintavételi hibára vezethető vissza.</w:t>
      </w:r>
    </w:p>
    <w:p w:rsidR="00060110" w:rsidRDefault="00060110" w:rsidP="003F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6" w:rsidRDefault="00C60D93" w:rsidP="00C610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Erdei fatermékek árstatisztikái</w:t>
      </w:r>
    </w:p>
    <w:p w:rsidR="00C60D93" w:rsidRDefault="00060110" w:rsidP="00856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lemezipari rönk ára köbméterenként több mint 150 ezer Ft volt az állami szektorban, jóval magasabb a bükkhöz és a nemes nyárhoz képest</w:t>
      </w:r>
      <w:r w:rsidR="00877BC0">
        <w:rPr>
          <w:rFonts w:ascii="Times New Roman" w:hAnsi="Times New Roman" w:cs="Times New Roman"/>
          <w:sz w:val="24"/>
          <w:szCs w:val="24"/>
        </w:rPr>
        <w:t xml:space="preserve"> (</w:t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begin"/>
      </w:r>
      <w:r w:rsidR="00877BC0" w:rsidRPr="00877BC0">
        <w:rPr>
          <w:rFonts w:ascii="Times New Roman" w:hAnsi="Times New Roman" w:cs="Times New Roman"/>
          <w:sz w:val="24"/>
          <w:szCs w:val="24"/>
        </w:rPr>
        <w:instrText xml:space="preserve"> REF _Ref41628914 \h </w:instrText>
      </w:r>
      <w:r w:rsidR="00877BC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77BC0" w:rsidRPr="00877BC0">
        <w:rPr>
          <w:rFonts w:ascii="Times New Roman" w:hAnsi="Times New Roman" w:cs="Times New Roman"/>
          <w:sz w:val="24"/>
          <w:szCs w:val="24"/>
        </w:rPr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separate"/>
      </w:r>
      <w:r w:rsidR="00877BC0" w:rsidRPr="00877BC0">
        <w:rPr>
          <w:rFonts w:ascii="Times New Roman" w:hAnsi="Times New Roman" w:cs="Times New Roman"/>
          <w:noProof/>
          <w:sz w:val="24"/>
          <w:szCs w:val="24"/>
        </w:rPr>
        <w:t>1</w:t>
      </w:r>
      <w:r w:rsidR="00877BC0" w:rsidRPr="00877BC0">
        <w:rPr>
          <w:rFonts w:ascii="Times New Roman" w:hAnsi="Times New Roman" w:cs="Times New Roman"/>
          <w:sz w:val="24"/>
          <w:szCs w:val="24"/>
        </w:rPr>
        <w:t>. ábra</w:t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end"/>
      </w:r>
      <w:r w:rsidR="00877BC0">
        <w:rPr>
          <w:rFonts w:ascii="Times New Roman" w:hAnsi="Times New Roman" w:cs="Times New Roman"/>
          <w:sz w:val="24"/>
          <w:szCs w:val="24"/>
        </w:rPr>
        <w:t xml:space="preserve">). </w:t>
      </w:r>
      <w:r w:rsidR="0083107D">
        <w:rPr>
          <w:rFonts w:ascii="Times New Roman" w:hAnsi="Times New Roman" w:cs="Times New Roman"/>
          <w:sz w:val="24"/>
          <w:szCs w:val="24"/>
        </w:rPr>
        <w:t>A legolcsóbb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ezer Ft alatti</w:t>
      </w:r>
      <w:r w:rsidR="0083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107D">
        <w:rPr>
          <w:rFonts w:ascii="Times New Roman" w:hAnsi="Times New Roman" w:cs="Times New Roman"/>
          <w:sz w:val="24"/>
          <w:szCs w:val="24"/>
        </w:rPr>
        <w:t xml:space="preserve">a nemes nyár </w:t>
      </w:r>
      <w:r>
        <w:rPr>
          <w:rFonts w:ascii="Times New Roman" w:hAnsi="Times New Roman" w:cs="Times New Roman"/>
          <w:sz w:val="24"/>
          <w:szCs w:val="24"/>
        </w:rPr>
        <w:t xml:space="preserve">lemezipari </w:t>
      </w:r>
      <w:r w:rsidR="0083107D">
        <w:rPr>
          <w:rFonts w:ascii="Times New Roman" w:hAnsi="Times New Roman" w:cs="Times New Roman"/>
          <w:sz w:val="24"/>
          <w:szCs w:val="24"/>
        </w:rPr>
        <w:t>rönk volt.</w:t>
      </w:r>
      <w:r>
        <w:rPr>
          <w:rFonts w:ascii="Times New Roman" w:hAnsi="Times New Roman" w:cs="Times New Roman"/>
          <w:sz w:val="24"/>
          <w:szCs w:val="24"/>
        </w:rPr>
        <w:t xml:space="preserve"> Az állami és a magánszektor közötti különbségek nem szignifikánsak.</w:t>
      </w:r>
    </w:p>
    <w:p w:rsidR="00C60D93" w:rsidRDefault="00CA51E4" w:rsidP="002A4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F708484" wp14:editId="175EE1CA">
            <wp:extent cx="3600000" cy="2430000"/>
            <wp:effectExtent l="0" t="0" r="635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41628914"/>
    <w:p w:rsidR="00C60D93" w:rsidRDefault="00C60D93" w:rsidP="00877BC0">
      <w:pPr>
        <w:pStyle w:val="Kpalrs"/>
        <w:jc w:val="center"/>
        <w:rPr>
          <w:rFonts w:ascii="Times New Roman" w:hAnsi="Times New Roman" w:cs="Times New Roman"/>
          <w:b w:val="0"/>
          <w:color w:val="auto"/>
        </w:rPr>
      </w:pPr>
      <w:r w:rsidRPr="00877BC0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877BC0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877BC0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877BC0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877BC0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0"/>
      <w:r w:rsidRPr="00877BC0">
        <w:rPr>
          <w:rFonts w:ascii="Times New Roman" w:hAnsi="Times New Roman" w:cs="Times New Roman"/>
          <w:b w:val="0"/>
          <w:color w:val="auto"/>
        </w:rPr>
        <w:t xml:space="preserve"> </w:t>
      </w:r>
      <w:r w:rsidR="00DD2765">
        <w:rPr>
          <w:rFonts w:ascii="Times New Roman" w:hAnsi="Times New Roman" w:cs="Times New Roman"/>
          <w:b w:val="0"/>
          <w:color w:val="auto"/>
        </w:rPr>
        <w:t>G</w:t>
      </w:r>
      <w:r w:rsidR="00DD2765" w:rsidRPr="00DD2765">
        <w:rPr>
          <w:rFonts w:ascii="Times New Roman" w:hAnsi="Times New Roman" w:cs="Times New Roman"/>
          <w:b w:val="0"/>
          <w:color w:val="auto"/>
        </w:rPr>
        <w:t xml:space="preserve">öcs- és </w:t>
      </w:r>
      <w:proofErr w:type="spellStart"/>
      <w:r w:rsidR="00DD2765" w:rsidRPr="00DD2765">
        <w:rPr>
          <w:rFonts w:ascii="Times New Roman" w:hAnsi="Times New Roman" w:cs="Times New Roman"/>
          <w:b w:val="0"/>
          <w:color w:val="auto"/>
        </w:rPr>
        <w:t>álgesztmentes</w:t>
      </w:r>
      <w:proofErr w:type="spellEnd"/>
      <w:r w:rsidR="00DD2765">
        <w:rPr>
          <w:rFonts w:ascii="Times New Roman" w:hAnsi="Times New Roman" w:cs="Times New Roman"/>
          <w:b w:val="0"/>
          <w:color w:val="auto"/>
        </w:rPr>
        <w:t>,</w:t>
      </w:r>
      <w:r w:rsidR="00DD2765" w:rsidRPr="00DD2765">
        <w:rPr>
          <w:rFonts w:ascii="Times New Roman" w:hAnsi="Times New Roman" w:cs="Times New Roman"/>
          <w:b w:val="0"/>
          <w:color w:val="auto"/>
        </w:rPr>
        <w:t xml:space="preserve"> 2,5m/40 cm</w:t>
      </w:r>
      <w:r w:rsidR="00DD2765">
        <w:rPr>
          <w:rFonts w:ascii="Times New Roman" w:hAnsi="Times New Roman" w:cs="Times New Roman"/>
          <w:b w:val="0"/>
          <w:color w:val="auto"/>
        </w:rPr>
        <w:t>-es lemezipari rönk árak szektoronként.</w:t>
      </w:r>
      <w:r w:rsidR="00221F22">
        <w:rPr>
          <w:rFonts w:ascii="Times New Roman" w:hAnsi="Times New Roman" w:cs="Times New Roman"/>
          <w:b w:val="0"/>
          <w:color w:val="auto"/>
        </w:rPr>
        <w:t xml:space="preserve"> Magánszektor esetében a 95 %-os megbízhatósági szintű konfidencia intervallumok vannak feltüntetve.</w:t>
      </w:r>
    </w:p>
    <w:p w:rsidR="00CA51E4" w:rsidRPr="00CA51E4" w:rsidRDefault="00CA51E4" w:rsidP="00CA51E4"/>
    <w:p w:rsidR="0083107D" w:rsidRDefault="00060110" w:rsidP="0009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fűrészipari rönkök közül is a tölgy volt a legdrágább (60 ezer Ft/m³ körüli), a nemes nyár pedig a legolcsóbb (</w:t>
      </w:r>
      <w:r w:rsidR="00221F22">
        <w:rPr>
          <w:rFonts w:ascii="Times New Roman" w:hAnsi="Times New Roman" w:cs="Times New Roman"/>
          <w:sz w:val="24"/>
          <w:szCs w:val="24"/>
        </w:rPr>
        <w:t xml:space="preserve">kb. </w:t>
      </w:r>
      <w:r>
        <w:rPr>
          <w:rFonts w:ascii="Times New Roman" w:hAnsi="Times New Roman" w:cs="Times New Roman"/>
          <w:sz w:val="24"/>
          <w:szCs w:val="24"/>
        </w:rPr>
        <w:t>15 ezer Ft/m³</w:t>
      </w:r>
      <w:r w:rsidR="00221F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640" w:rsidRPr="00856640">
        <w:rPr>
          <w:rFonts w:ascii="Times New Roman" w:hAnsi="Times New Roman" w:cs="Times New Roman"/>
          <w:sz w:val="24"/>
          <w:szCs w:val="24"/>
        </w:rPr>
        <w:fldChar w:fldCharType="begin"/>
      </w:r>
      <w:r w:rsidR="00856640" w:rsidRPr="00856640">
        <w:rPr>
          <w:rFonts w:ascii="Times New Roman" w:hAnsi="Times New Roman" w:cs="Times New Roman"/>
          <w:sz w:val="24"/>
          <w:szCs w:val="24"/>
        </w:rPr>
        <w:instrText xml:space="preserve"> REF _Ref41642669 \h </w:instrText>
      </w:r>
      <w:r w:rsidR="0085664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56640" w:rsidRPr="00856640">
        <w:rPr>
          <w:rFonts w:ascii="Times New Roman" w:hAnsi="Times New Roman" w:cs="Times New Roman"/>
          <w:sz w:val="24"/>
          <w:szCs w:val="24"/>
        </w:rPr>
      </w:r>
      <w:r w:rsidR="00856640" w:rsidRPr="00856640">
        <w:rPr>
          <w:rFonts w:ascii="Times New Roman" w:hAnsi="Times New Roman" w:cs="Times New Roman"/>
          <w:sz w:val="24"/>
          <w:szCs w:val="24"/>
        </w:rPr>
        <w:fldChar w:fldCharType="separate"/>
      </w:r>
      <w:r w:rsidR="00856640" w:rsidRPr="00856640">
        <w:rPr>
          <w:rFonts w:ascii="Times New Roman" w:hAnsi="Times New Roman" w:cs="Times New Roman"/>
          <w:noProof/>
          <w:sz w:val="24"/>
          <w:szCs w:val="24"/>
        </w:rPr>
        <w:t>2. ábra</w:t>
      </w:r>
      <w:r w:rsidR="00856640" w:rsidRPr="00856640">
        <w:rPr>
          <w:rFonts w:ascii="Times New Roman" w:hAnsi="Times New Roman" w:cs="Times New Roman"/>
          <w:sz w:val="24"/>
          <w:szCs w:val="24"/>
        </w:rPr>
        <w:fldChar w:fldCharType="end"/>
      </w:r>
      <w:r w:rsidR="00856640">
        <w:rPr>
          <w:rFonts w:ascii="Times New Roman" w:hAnsi="Times New Roman" w:cs="Times New Roman"/>
          <w:sz w:val="24"/>
          <w:szCs w:val="24"/>
        </w:rPr>
        <w:t>).</w:t>
      </w:r>
      <w:r w:rsidR="00221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F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1F22">
        <w:rPr>
          <w:rFonts w:ascii="Times New Roman" w:hAnsi="Times New Roman" w:cs="Times New Roman"/>
          <w:sz w:val="24"/>
          <w:szCs w:val="24"/>
        </w:rPr>
        <w:t xml:space="preserve"> szektorok közötti különbségek kismértékűek, ill. – a fenyők kivételével – nem szignifikánsak.</w:t>
      </w:r>
    </w:p>
    <w:p w:rsidR="00257D8D" w:rsidRDefault="00CA51E4" w:rsidP="008566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88939FF" wp14:editId="62882A92">
            <wp:extent cx="3600000" cy="2430000"/>
            <wp:effectExtent l="0" t="0" r="635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41642669"/>
    <w:p w:rsidR="00257D8D" w:rsidRDefault="00257D8D" w:rsidP="00257D8D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257D8D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257D8D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257D8D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257D8D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257D8D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"/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. </w:t>
      </w:r>
      <w:r w:rsidR="00221F2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</w:t>
      </w:r>
      <w:r w:rsidR="00221F22" w:rsidRPr="00221F2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lgesztmentes</w:t>
      </w:r>
      <w:r w:rsidR="00221F2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,</w:t>
      </w:r>
      <w:r w:rsidR="00221F22" w:rsidRPr="00221F2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2,5m/30 cm</w:t>
      </w:r>
      <w:r w:rsidR="00221F2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-es fűrészrönk árak szektoronként. A magánszektorból nem érkezett bükk fűrészrönk árra vonatkozó adat. </w:t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Az ábra értelmezéséhez szükséges magyarázatot ld. az </w:t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_Ref41628914 \h  \* MERGEFORMAT </w:instrText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</w:t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257D8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ánál.</w:t>
      </w:r>
    </w:p>
    <w:p w:rsidR="00AC099F" w:rsidRDefault="00AC099F" w:rsidP="008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640" w:rsidRDefault="00AC099F" w:rsidP="00856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keményfa tűzifa árak fajonként hasonlók, 15 és 20 ezer Ft közöttiek voltak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_Ref83811926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C09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ábra), a – tűzifaként egyébként jóval ritkábban használt – lágylomb ehhez képest jóval olcsóbb volt. A magánszektorból érkezett adatok átlaga magasabb, a különbségek azonban csak az akácnál tekinthetők „éppen” szignifikánsnak (azaz más, pl. 90 %-os megbízhatósági szintnél már ebben az esetben sem lenne szignifikáns az eltérés).</w:t>
      </w:r>
    </w:p>
    <w:p w:rsidR="00C60D93" w:rsidRDefault="00CA51E4" w:rsidP="00AC0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DC97119" wp14:editId="3928CCB5">
            <wp:extent cx="4320000" cy="29160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41629899"/>
    <w:p w:rsidR="00877BC0" w:rsidRDefault="00877BC0" w:rsidP="00877BC0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927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0927F7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0927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bookmarkStart w:id="3" w:name="_Ref83811926"/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bookmarkEnd w:id="3"/>
      <w:r w:rsidRPr="000927F7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0927F7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2"/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</w:t>
      </w:r>
      <w:r w:rsidR="00AC099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 m-es</w:t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tűzifa árstatisztikák szektoronkénti bontásban. Az ábra értelmezéséhez szükséges magyarázatot ld. az </w:t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_Ref41628914 \h  \* MERGEFORMAT </w:instrText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</w:t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877BC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ánál.</w:t>
      </w:r>
    </w:p>
    <w:p w:rsidR="007D4BFA" w:rsidRDefault="007D4BFA" w:rsidP="00AC0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99F" w:rsidRDefault="007D4BFA" w:rsidP="00AC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áruféleségek átlagos árait mutatja 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_Ref83812680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4BFA">
        <w:rPr>
          <w:rFonts w:ascii="Times New Roman" w:hAnsi="Times New Roman" w:cs="Times New Roman"/>
          <w:sz w:val="24"/>
          <w:szCs w:val="24"/>
        </w:rPr>
        <w:t>4. ábra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A magánszektor árai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 alacsonyabbak, az eltérés lágylomb </w:t>
      </w:r>
      <w:proofErr w:type="gramStart"/>
      <w:r>
        <w:rPr>
          <w:rFonts w:ascii="Times New Roman" w:hAnsi="Times New Roman" w:cs="Times New Roman"/>
          <w:sz w:val="24"/>
          <w:szCs w:val="24"/>
        </w:rPr>
        <w:t>papírfa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fenyő rostfa esetében szignifikáns.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termékről egyáltalán nem érkezett adat </w:t>
      </w:r>
      <w:r w:rsidR="00D15600">
        <w:rPr>
          <w:rFonts w:ascii="Times New Roman" w:hAnsi="Times New Roman" w:cs="Times New Roman"/>
          <w:sz w:val="24"/>
          <w:szCs w:val="24"/>
        </w:rPr>
        <w:t>a magánszektorból.</w:t>
      </w:r>
    </w:p>
    <w:p w:rsidR="00D22AF4" w:rsidRPr="00AC099F" w:rsidRDefault="00D22AF4" w:rsidP="00AC0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99F" w:rsidRDefault="00D22AF4" w:rsidP="00AC0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812CAA2" wp14:editId="7C19E138">
            <wp:extent cx="4320000" cy="2916000"/>
            <wp:effectExtent l="0" t="0" r="444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83812680"/>
    <w:p w:rsidR="00AC099F" w:rsidRDefault="00AC099F" w:rsidP="007D4BFA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r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4"/>
      <w:r w:rsidR="007D4BFA" w:rsidRPr="007D4BFA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Papír-, rost- és forgácslapfa árak szektoronkénti bontásban. Magánszektorból nem minden áruféleségre érkezett adat. Az ábra értelmezéséhez szükséges magyarázatot ld. az </w:t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_Ref41628914 \h  \* MERGEFORMAT </w:instrText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</w:t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="007D4BFA" w:rsidRPr="007D4BF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ánál.</w:t>
      </w:r>
    </w:p>
    <w:p w:rsidR="00B749C5" w:rsidRDefault="00B749C5" w:rsidP="00B749C5"/>
    <w:p w:rsidR="00B749C5" w:rsidRDefault="00B749C5" w:rsidP="00B749C5"/>
    <w:p w:rsidR="00B749C5" w:rsidRDefault="00B749C5" w:rsidP="00B74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Az árak változása az állami erdőgazdaságoknál</w:t>
      </w:r>
    </w:p>
    <w:p w:rsidR="00C54CE2" w:rsidRPr="00C54CE2" w:rsidRDefault="00C54CE2" w:rsidP="00C54CE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rönkök közül a tölgy lemezipari rönk átlagos ára jelentősen emelkedett a tavalyi évhez képest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_Ref83911391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54CE2">
        <w:rPr>
          <w:rFonts w:ascii="Times New Roman" w:hAnsi="Times New Roman" w:cs="Times New Roman"/>
          <w:sz w:val="24"/>
          <w:szCs w:val="24"/>
        </w:rPr>
        <w:t>5. ábra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a többi nem változott számottevő mértékben. </w:t>
      </w:r>
      <w:r w:rsidR="007D0F18">
        <w:rPr>
          <w:rFonts w:ascii="Times New Roman" w:hAnsi="Times New Roman" w:cs="Times New Roman"/>
          <w:sz w:val="24"/>
          <w:szCs w:val="24"/>
        </w:rPr>
        <w:t>A tűzifa árak valamelyest csökkentek (</w:t>
      </w:r>
      <w:r w:rsidR="007D0F18">
        <w:rPr>
          <w:rFonts w:ascii="Times New Roman" w:hAnsi="Times New Roman" w:cs="Times New Roman"/>
          <w:sz w:val="24"/>
          <w:szCs w:val="24"/>
        </w:rPr>
        <w:fldChar w:fldCharType="begin"/>
      </w:r>
      <w:r w:rsidR="007D0F18">
        <w:rPr>
          <w:rFonts w:ascii="Times New Roman" w:hAnsi="Times New Roman" w:cs="Times New Roman"/>
          <w:sz w:val="24"/>
          <w:szCs w:val="24"/>
        </w:rPr>
        <w:instrText xml:space="preserve"> REF _Ref83911666 \h  \* MERGEFORMAT </w:instrText>
      </w:r>
      <w:r w:rsidR="007D0F18">
        <w:rPr>
          <w:rFonts w:ascii="Times New Roman" w:hAnsi="Times New Roman" w:cs="Times New Roman"/>
          <w:sz w:val="24"/>
          <w:szCs w:val="24"/>
        </w:rPr>
      </w:r>
      <w:r w:rsidR="007D0F18">
        <w:rPr>
          <w:rFonts w:ascii="Times New Roman" w:hAnsi="Times New Roman" w:cs="Times New Roman"/>
          <w:sz w:val="24"/>
          <w:szCs w:val="24"/>
        </w:rPr>
        <w:fldChar w:fldCharType="separate"/>
      </w:r>
      <w:r w:rsidR="007D0F18" w:rsidRPr="007D0F18">
        <w:rPr>
          <w:rFonts w:ascii="Times New Roman" w:hAnsi="Times New Roman" w:cs="Times New Roman"/>
          <w:sz w:val="24"/>
          <w:szCs w:val="24"/>
        </w:rPr>
        <w:t>6. ábra</w:t>
      </w:r>
      <w:r w:rsidR="007D0F18">
        <w:rPr>
          <w:rFonts w:ascii="Times New Roman" w:hAnsi="Times New Roman" w:cs="Times New Roman"/>
          <w:sz w:val="24"/>
          <w:szCs w:val="24"/>
        </w:rPr>
        <w:fldChar w:fldCharType="end"/>
      </w:r>
      <w:r w:rsidR="007D0F18">
        <w:rPr>
          <w:rFonts w:ascii="Times New Roman" w:hAnsi="Times New Roman" w:cs="Times New Roman"/>
          <w:sz w:val="24"/>
          <w:szCs w:val="24"/>
        </w:rPr>
        <w:t>).</w:t>
      </w:r>
      <w:r w:rsidR="008C3B00">
        <w:rPr>
          <w:rFonts w:ascii="Times New Roman" w:hAnsi="Times New Roman" w:cs="Times New Roman"/>
          <w:sz w:val="24"/>
          <w:szCs w:val="24"/>
        </w:rPr>
        <w:t xml:space="preserve"> Az árak kismértékű csökkenése több </w:t>
      </w:r>
      <w:proofErr w:type="spellStart"/>
      <w:r w:rsidR="008C3B00"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 w:rsidR="008C3B00">
        <w:rPr>
          <w:rFonts w:ascii="Times New Roman" w:hAnsi="Times New Roman" w:cs="Times New Roman"/>
          <w:sz w:val="24"/>
          <w:szCs w:val="24"/>
        </w:rPr>
        <w:t xml:space="preserve"> áruféleségnél is megfigyelhető (</w:t>
      </w:r>
      <w:r w:rsidR="008C3B00">
        <w:rPr>
          <w:rFonts w:ascii="Times New Roman" w:hAnsi="Times New Roman" w:cs="Times New Roman"/>
          <w:sz w:val="24"/>
          <w:szCs w:val="24"/>
        </w:rPr>
        <w:fldChar w:fldCharType="begin"/>
      </w:r>
      <w:r w:rsidR="008C3B00">
        <w:rPr>
          <w:rFonts w:ascii="Times New Roman" w:hAnsi="Times New Roman" w:cs="Times New Roman"/>
          <w:sz w:val="24"/>
          <w:szCs w:val="24"/>
        </w:rPr>
        <w:instrText xml:space="preserve"> REF _Ref83912424 \h  \* MERGEFORMAT </w:instrText>
      </w:r>
      <w:r w:rsidR="008C3B00">
        <w:rPr>
          <w:rFonts w:ascii="Times New Roman" w:hAnsi="Times New Roman" w:cs="Times New Roman"/>
          <w:sz w:val="24"/>
          <w:szCs w:val="24"/>
        </w:rPr>
      </w:r>
      <w:r w:rsidR="008C3B00">
        <w:rPr>
          <w:rFonts w:ascii="Times New Roman" w:hAnsi="Times New Roman" w:cs="Times New Roman"/>
          <w:sz w:val="24"/>
          <w:szCs w:val="24"/>
        </w:rPr>
        <w:fldChar w:fldCharType="separate"/>
      </w:r>
      <w:r w:rsidR="008C3B00" w:rsidRPr="008C3B00">
        <w:rPr>
          <w:rFonts w:ascii="Times New Roman" w:hAnsi="Times New Roman" w:cs="Times New Roman"/>
          <w:sz w:val="24"/>
          <w:szCs w:val="24"/>
        </w:rPr>
        <w:t>7. ábra</w:t>
      </w:r>
      <w:r w:rsidR="008C3B00">
        <w:rPr>
          <w:rFonts w:ascii="Times New Roman" w:hAnsi="Times New Roman" w:cs="Times New Roman"/>
          <w:sz w:val="24"/>
          <w:szCs w:val="24"/>
        </w:rPr>
        <w:fldChar w:fldCharType="end"/>
      </w:r>
      <w:r w:rsidR="008C3B00">
        <w:rPr>
          <w:rFonts w:ascii="Times New Roman" w:hAnsi="Times New Roman" w:cs="Times New Roman"/>
          <w:sz w:val="24"/>
          <w:szCs w:val="24"/>
        </w:rPr>
        <w:t>).</w:t>
      </w:r>
    </w:p>
    <w:p w:rsidR="00B749C5" w:rsidRDefault="004175C6" w:rsidP="00C54CE2">
      <w:pPr>
        <w:spacing w:line="240" w:lineRule="atLeast"/>
        <w:ind w:left="720"/>
        <w:jc w:val="center"/>
      </w:pPr>
      <w:r>
        <w:rPr>
          <w:noProof/>
          <w:lang w:eastAsia="hu-HU"/>
        </w:rPr>
        <w:drawing>
          <wp:inline distT="0" distB="0" distL="0" distR="0" wp14:anchorId="1970661F" wp14:editId="378352DE">
            <wp:extent cx="3960000" cy="2671200"/>
            <wp:effectExtent l="0" t="0" r="254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83911391"/>
    <w:p w:rsidR="00B749C5" w:rsidRDefault="00B749C5" w:rsidP="00C54CE2">
      <w:pPr>
        <w:pStyle w:val="Kpalrs"/>
        <w:spacing w:line="240" w:lineRule="atLeast"/>
        <w:ind w:left="720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5</w:t>
      </w:r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5"/>
      <w:r w:rsidRPr="00B749C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B749C5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Lemezipari és fűrészrönk árának változása az állami erdőgazdaságoknál.</w:t>
      </w:r>
      <w:r w:rsid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 rönktípusok pontos minőségi leírását ld. az </w: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_Ref41628914 \h  \* MERGEFORMAT </w:instrTex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="003A50E3" w:rsidRPr="003A50E3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és a </w: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_Ref41642669 \h  \* MERGEFORMAT </w:instrTex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2. ábra</w:t>
      </w:r>
      <w:r w:rsidR="003A50E3" w:rsidRP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="003A50E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F1049F" w:rsidRDefault="00F1049F" w:rsidP="00F1049F"/>
    <w:p w:rsidR="00F1049F" w:rsidRDefault="004175C6" w:rsidP="00F1049F">
      <w:pPr>
        <w:jc w:val="center"/>
      </w:pPr>
      <w:r>
        <w:rPr>
          <w:noProof/>
          <w:lang w:eastAsia="hu-HU"/>
        </w:rPr>
        <w:drawing>
          <wp:inline distT="0" distB="0" distL="0" distR="0" wp14:anchorId="60E867D8" wp14:editId="4112C50A">
            <wp:extent cx="3960000" cy="2671200"/>
            <wp:effectExtent l="0" t="0" r="254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83911666"/>
    <w:p w:rsidR="00F1049F" w:rsidRDefault="00F1049F" w:rsidP="00F1049F">
      <w:pPr>
        <w:pStyle w:val="Kpalrs"/>
        <w:spacing w:line="240" w:lineRule="atLeast"/>
        <w:ind w:left="720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6A3975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6"/>
      <w:r w:rsidRPr="00F1049F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F1049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Tűzifa árak változása az állami erdőgazdaságoknál.</w:t>
      </w:r>
    </w:p>
    <w:p w:rsidR="006A3975" w:rsidRDefault="006A3975" w:rsidP="006A3975"/>
    <w:p w:rsidR="006A3975" w:rsidRDefault="00B160A9" w:rsidP="006A3975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154169AE" wp14:editId="3F57DB79">
            <wp:extent cx="3960000" cy="2671200"/>
            <wp:effectExtent l="0" t="0" r="254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83912424"/>
    <w:p w:rsidR="006A3975" w:rsidRPr="008C3B00" w:rsidRDefault="006A3975" w:rsidP="008C3B00">
      <w:pPr>
        <w:pStyle w:val="Kpalrs"/>
        <w:spacing w:line="240" w:lineRule="atLeast"/>
        <w:ind w:left="720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t>7</w:t>
      </w: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7"/>
      <w:r w:rsidRPr="008C3B00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8C3B0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Iparifa áruféleségek árának változása az állami erdőgazdaságoknál.</w:t>
      </w:r>
      <w:bookmarkStart w:id="8" w:name="_GoBack"/>
      <w:bookmarkEnd w:id="8"/>
    </w:p>
    <w:sectPr w:rsidR="006A3975" w:rsidRPr="008C3B0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66" w:rsidRDefault="008B0E66" w:rsidP="003F7FC0">
      <w:pPr>
        <w:spacing w:after="0" w:line="240" w:lineRule="auto"/>
      </w:pPr>
      <w:r>
        <w:separator/>
      </w:r>
    </w:p>
  </w:endnote>
  <w:endnote w:type="continuationSeparator" w:id="0">
    <w:p w:rsidR="008B0E66" w:rsidRDefault="008B0E66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A9">
          <w:rPr>
            <w:noProof/>
          </w:rPr>
          <w:t>5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66" w:rsidRDefault="008B0E66" w:rsidP="003F7FC0">
      <w:pPr>
        <w:spacing w:after="0" w:line="240" w:lineRule="auto"/>
      </w:pPr>
      <w:r>
        <w:separator/>
      </w:r>
    </w:p>
  </w:footnote>
  <w:footnote w:type="continuationSeparator" w:id="0">
    <w:p w:rsidR="008B0E66" w:rsidRDefault="008B0E66" w:rsidP="003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21C84D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342F7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14644"/>
    <w:rsid w:val="00060110"/>
    <w:rsid w:val="00084AAA"/>
    <w:rsid w:val="000927F7"/>
    <w:rsid w:val="000B435B"/>
    <w:rsid w:val="000C68D2"/>
    <w:rsid w:val="000D16AE"/>
    <w:rsid w:val="000E2ADA"/>
    <w:rsid w:val="000F44FF"/>
    <w:rsid w:val="001212D2"/>
    <w:rsid w:val="00153075"/>
    <w:rsid w:val="001577DF"/>
    <w:rsid w:val="001616FF"/>
    <w:rsid w:val="00180DDA"/>
    <w:rsid w:val="0018452A"/>
    <w:rsid w:val="001A362B"/>
    <w:rsid w:val="001B092F"/>
    <w:rsid w:val="001C4942"/>
    <w:rsid w:val="001D1848"/>
    <w:rsid w:val="001E749C"/>
    <w:rsid w:val="00221F22"/>
    <w:rsid w:val="00231435"/>
    <w:rsid w:val="002330E3"/>
    <w:rsid w:val="002514F8"/>
    <w:rsid w:val="0025381A"/>
    <w:rsid w:val="00257D50"/>
    <w:rsid w:val="00257D8D"/>
    <w:rsid w:val="0026453F"/>
    <w:rsid w:val="002728E7"/>
    <w:rsid w:val="00281169"/>
    <w:rsid w:val="00284244"/>
    <w:rsid w:val="002848FF"/>
    <w:rsid w:val="002A4409"/>
    <w:rsid w:val="002D1201"/>
    <w:rsid w:val="002E0711"/>
    <w:rsid w:val="002E4CD0"/>
    <w:rsid w:val="00301F90"/>
    <w:rsid w:val="00303C7F"/>
    <w:rsid w:val="00347D12"/>
    <w:rsid w:val="003560F1"/>
    <w:rsid w:val="00380E55"/>
    <w:rsid w:val="00392E07"/>
    <w:rsid w:val="003A50E3"/>
    <w:rsid w:val="003B2837"/>
    <w:rsid w:val="003C7A4D"/>
    <w:rsid w:val="003F56D1"/>
    <w:rsid w:val="003F7CFF"/>
    <w:rsid w:val="003F7FC0"/>
    <w:rsid w:val="004133ED"/>
    <w:rsid w:val="004175C6"/>
    <w:rsid w:val="00417F77"/>
    <w:rsid w:val="00446C5A"/>
    <w:rsid w:val="00482F27"/>
    <w:rsid w:val="004946FB"/>
    <w:rsid w:val="004A2B78"/>
    <w:rsid w:val="004D0F00"/>
    <w:rsid w:val="004D4E0E"/>
    <w:rsid w:val="00566B9A"/>
    <w:rsid w:val="005B5AFB"/>
    <w:rsid w:val="005C15C9"/>
    <w:rsid w:val="005F34FF"/>
    <w:rsid w:val="00642425"/>
    <w:rsid w:val="00670E46"/>
    <w:rsid w:val="006A3975"/>
    <w:rsid w:val="0074629A"/>
    <w:rsid w:val="007C536F"/>
    <w:rsid w:val="007C5EA5"/>
    <w:rsid w:val="007D0F18"/>
    <w:rsid w:val="007D4BFA"/>
    <w:rsid w:val="007D5A09"/>
    <w:rsid w:val="008060C6"/>
    <w:rsid w:val="008234DF"/>
    <w:rsid w:val="008254F3"/>
    <w:rsid w:val="0083107D"/>
    <w:rsid w:val="00846232"/>
    <w:rsid w:val="00855A77"/>
    <w:rsid w:val="00856640"/>
    <w:rsid w:val="00863F3B"/>
    <w:rsid w:val="0087198B"/>
    <w:rsid w:val="00877BC0"/>
    <w:rsid w:val="00881AE2"/>
    <w:rsid w:val="008B0E66"/>
    <w:rsid w:val="008C3B00"/>
    <w:rsid w:val="008E7A83"/>
    <w:rsid w:val="00917586"/>
    <w:rsid w:val="00973BE7"/>
    <w:rsid w:val="00976007"/>
    <w:rsid w:val="00996EC9"/>
    <w:rsid w:val="009D494D"/>
    <w:rsid w:val="009D4C5A"/>
    <w:rsid w:val="00A15247"/>
    <w:rsid w:val="00A3438F"/>
    <w:rsid w:val="00A769C7"/>
    <w:rsid w:val="00A82EEA"/>
    <w:rsid w:val="00A84607"/>
    <w:rsid w:val="00AC099F"/>
    <w:rsid w:val="00AD05DA"/>
    <w:rsid w:val="00B01AE1"/>
    <w:rsid w:val="00B02DE5"/>
    <w:rsid w:val="00B06910"/>
    <w:rsid w:val="00B160A9"/>
    <w:rsid w:val="00B34410"/>
    <w:rsid w:val="00B67A91"/>
    <w:rsid w:val="00B749C5"/>
    <w:rsid w:val="00B8460A"/>
    <w:rsid w:val="00BA27CA"/>
    <w:rsid w:val="00BA71C3"/>
    <w:rsid w:val="00BF130F"/>
    <w:rsid w:val="00BF14C6"/>
    <w:rsid w:val="00C06508"/>
    <w:rsid w:val="00C54CE2"/>
    <w:rsid w:val="00C60D93"/>
    <w:rsid w:val="00C610F0"/>
    <w:rsid w:val="00C755DA"/>
    <w:rsid w:val="00CA51E4"/>
    <w:rsid w:val="00CE34A3"/>
    <w:rsid w:val="00D12A85"/>
    <w:rsid w:val="00D15600"/>
    <w:rsid w:val="00D22AF4"/>
    <w:rsid w:val="00DB0239"/>
    <w:rsid w:val="00DD2765"/>
    <w:rsid w:val="00E5404A"/>
    <w:rsid w:val="00E56BE2"/>
    <w:rsid w:val="00E60E11"/>
    <w:rsid w:val="00E717FA"/>
    <w:rsid w:val="00E84AD7"/>
    <w:rsid w:val="00EB091D"/>
    <w:rsid w:val="00EF56C6"/>
    <w:rsid w:val="00F07012"/>
    <w:rsid w:val="00F1049F"/>
    <w:rsid w:val="00F42F84"/>
    <w:rsid w:val="00F51878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26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26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agrarstatisztika.kormany.hu/erdogazdalkodas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804A-5109-47D3-96B6-A75AD10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Dr. Tobisch Tamás</cp:lastModifiedBy>
  <cp:revision>36</cp:revision>
  <dcterms:created xsi:type="dcterms:W3CDTF">2020-05-28T14:45:00Z</dcterms:created>
  <dcterms:modified xsi:type="dcterms:W3CDTF">2021-10-01T08:44:00Z</dcterms:modified>
</cp:coreProperties>
</file>