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CF" w:rsidRPr="00F32607" w:rsidRDefault="00677ECF" w:rsidP="00677ECF">
      <w:pPr>
        <w:jc w:val="center"/>
        <w:rPr>
          <w:rFonts w:ascii="Times New Roman" w:hAnsi="Times New Roman" w:cs="Times New Roman"/>
          <w:b/>
          <w:sz w:val="32"/>
          <w:szCs w:val="32"/>
        </w:rPr>
      </w:pPr>
      <w:bookmarkStart w:id="0" w:name="_GoBack"/>
      <w:bookmarkEnd w:id="0"/>
      <w:r w:rsidRPr="00F32607">
        <w:rPr>
          <w:rFonts w:ascii="Times New Roman" w:hAnsi="Times New Roman" w:cs="Times New Roman"/>
          <w:b/>
          <w:sz w:val="32"/>
          <w:szCs w:val="32"/>
        </w:rPr>
        <w:t>Statisztikai közlemény</w:t>
      </w:r>
    </w:p>
    <w:p w:rsidR="00677ECF" w:rsidRPr="00F32607" w:rsidRDefault="00677ECF" w:rsidP="00677ECF">
      <w:pPr>
        <w:jc w:val="center"/>
        <w:rPr>
          <w:rFonts w:ascii="Times New Roman" w:hAnsi="Times New Roman" w:cs="Times New Roman"/>
          <w:i/>
        </w:rPr>
      </w:pPr>
      <w:proofErr w:type="gramStart"/>
      <w:r w:rsidRPr="00F32607">
        <w:rPr>
          <w:rFonts w:ascii="Times New Roman" w:hAnsi="Times New Roman" w:cs="Times New Roman"/>
        </w:rPr>
        <w:t>az</w:t>
      </w:r>
      <w:proofErr w:type="gramEnd"/>
      <w:r w:rsidRPr="00F32607">
        <w:rPr>
          <w:rFonts w:ascii="Times New Roman" w:hAnsi="Times New Roman" w:cs="Times New Roman"/>
          <w:i/>
        </w:rPr>
        <w:t xml:space="preserve"> „Erdei fatermékek termelése és készletváltozása” c. </w:t>
      </w:r>
      <w:r w:rsidRPr="00F32607">
        <w:rPr>
          <w:rFonts w:ascii="Times New Roman" w:hAnsi="Times New Roman" w:cs="Times New Roman"/>
        </w:rPr>
        <w:t>(OSAP 1259/1)</w:t>
      </w:r>
    </w:p>
    <w:p w:rsidR="00677ECF" w:rsidRPr="00F32607" w:rsidRDefault="00677ECF" w:rsidP="00677ECF">
      <w:pPr>
        <w:jc w:val="center"/>
        <w:rPr>
          <w:rFonts w:ascii="Times New Roman" w:hAnsi="Times New Roman" w:cs="Times New Roman"/>
          <w:b/>
        </w:rPr>
      </w:pPr>
      <w:r w:rsidRPr="00F32607">
        <w:rPr>
          <w:rFonts w:ascii="Times New Roman" w:hAnsi="Times New Roman" w:cs="Times New Roman"/>
          <w:b/>
        </w:rPr>
        <w:t>2021. évi</w:t>
      </w:r>
    </w:p>
    <w:p w:rsidR="00677ECF" w:rsidRPr="00F32607" w:rsidRDefault="00677ECF" w:rsidP="00677ECF">
      <w:pPr>
        <w:jc w:val="center"/>
        <w:rPr>
          <w:rFonts w:ascii="Times New Roman" w:hAnsi="Times New Roman" w:cs="Times New Roman"/>
          <w:b/>
        </w:rPr>
      </w:pPr>
      <w:proofErr w:type="gramStart"/>
      <w:r w:rsidRPr="00F32607">
        <w:rPr>
          <w:rFonts w:ascii="Times New Roman" w:hAnsi="Times New Roman" w:cs="Times New Roman"/>
          <w:b/>
        </w:rPr>
        <w:t>adatgyűjtésről</w:t>
      </w:r>
      <w:proofErr w:type="gramEnd"/>
    </w:p>
    <w:p w:rsidR="0024737D" w:rsidRDefault="0024737D" w:rsidP="00677ECF">
      <w:pPr>
        <w:jc w:val="center"/>
        <w:rPr>
          <w:rFonts w:ascii="Times New Roman" w:hAnsi="Times New Roman" w:cs="Times New Roman"/>
          <w:b/>
        </w:rPr>
      </w:pPr>
    </w:p>
    <w:p w:rsidR="0024737D" w:rsidRPr="00F32607" w:rsidRDefault="0024737D" w:rsidP="00677ECF">
      <w:pPr>
        <w:jc w:val="center"/>
        <w:rPr>
          <w:rFonts w:ascii="Times New Roman" w:hAnsi="Times New Roman" w:cs="Times New Roman"/>
          <w:b/>
        </w:rPr>
      </w:pPr>
    </w:p>
    <w:p w:rsidR="00B611D9" w:rsidRDefault="00677ECF" w:rsidP="00B611D9">
      <w:pPr>
        <w:pStyle w:val="Listaszerbekezds"/>
        <w:numPr>
          <w:ilvl w:val="0"/>
          <w:numId w:val="1"/>
        </w:numPr>
        <w:rPr>
          <w:rFonts w:ascii="Times New Roman" w:hAnsi="Times New Roman" w:cs="Times New Roman"/>
          <w:b/>
          <w:sz w:val="24"/>
          <w:szCs w:val="24"/>
        </w:rPr>
      </w:pPr>
      <w:r w:rsidRPr="00F32607">
        <w:rPr>
          <w:rFonts w:ascii="Times New Roman" w:hAnsi="Times New Roman" w:cs="Times New Roman"/>
          <w:b/>
          <w:sz w:val="24"/>
          <w:szCs w:val="24"/>
        </w:rPr>
        <w:t>Az adatgyűjtés jellemzői</w:t>
      </w:r>
    </w:p>
    <w:p w:rsidR="0024737D" w:rsidRPr="0024737D" w:rsidRDefault="0024737D" w:rsidP="0024737D">
      <w:pPr>
        <w:rPr>
          <w:rFonts w:ascii="Times New Roman" w:hAnsi="Times New Roman" w:cs="Times New Roman"/>
          <w:b/>
          <w:sz w:val="24"/>
          <w:szCs w:val="24"/>
        </w:rPr>
      </w:pPr>
    </w:p>
    <w:p w:rsidR="005417F9" w:rsidRDefault="00B611D9" w:rsidP="00B611D9">
      <w:pPr>
        <w:jc w:val="both"/>
        <w:rPr>
          <w:rFonts w:ascii="Times New Roman" w:hAnsi="Times New Roman" w:cs="Times New Roman"/>
          <w:sz w:val="24"/>
          <w:szCs w:val="24"/>
        </w:rPr>
      </w:pPr>
      <w:r w:rsidRPr="00F32607">
        <w:rPr>
          <w:rFonts w:ascii="Times New Roman" w:hAnsi="Times New Roman" w:cs="Times New Roman"/>
          <w:sz w:val="24"/>
          <w:szCs w:val="24"/>
        </w:rPr>
        <w:t xml:space="preserve">Az adatgyűjtés célja a főbb erdei fatermékek hazai készletváltozásának és azok értékesítéséből befolyt árbevételnek a becslése. </w:t>
      </w:r>
      <w:r w:rsidR="005417F9" w:rsidRPr="00F32607">
        <w:rPr>
          <w:rFonts w:ascii="Times New Roman" w:hAnsi="Times New Roman" w:cs="Times New Roman"/>
          <w:sz w:val="24"/>
          <w:szCs w:val="24"/>
        </w:rPr>
        <w:t xml:space="preserve">Az adatlapokon nettó készletváltozási (beleértve a fakitermelést is) és értékesítési adatokat gyűjtünk faj- és választék szerinti megbontásban. Az adatkörök tehát részben átfednek a 1257-es számú adatgyűjtés adatköreivel. Meg kell azonban jegyezni, hogy a tényleges adatszolgáltatások (vagyis a válaszadási arány) számában a két adatgyűjtés kismértékben különbözik, ezért az átfedő statisztikák (nettó kitermelt fajonkénti fatérfogat) sem egyeznek meg teljes mértékben. Tekintettel azonban az adatgyűjtés mintavételes jellegére, ez az adatok értelmezhetőségét nem rontja. </w:t>
      </w:r>
    </w:p>
    <w:p w:rsidR="00B611D9" w:rsidRPr="00F32607" w:rsidRDefault="00B611D9" w:rsidP="00B611D9">
      <w:pPr>
        <w:jc w:val="both"/>
        <w:rPr>
          <w:rFonts w:ascii="Times New Roman" w:hAnsi="Times New Roman" w:cs="Times New Roman"/>
          <w:b/>
          <w:sz w:val="24"/>
          <w:szCs w:val="24"/>
        </w:rPr>
      </w:pPr>
      <w:r w:rsidRPr="00F32607">
        <w:rPr>
          <w:rFonts w:ascii="Times New Roman" w:hAnsi="Times New Roman" w:cs="Times New Roman"/>
          <w:sz w:val="24"/>
          <w:szCs w:val="24"/>
        </w:rPr>
        <w:t xml:space="preserve">A mintavételezéssel kapcsolatos módszertani tudnivalók a 1257-es számú adatgyűjtés (Nettó fakitermelés) </w:t>
      </w:r>
      <w:hyperlink r:id="rId9" w:history="1">
        <w:r w:rsidRPr="00F32607">
          <w:rPr>
            <w:rStyle w:val="Hiperhivatkozs"/>
            <w:rFonts w:ascii="Times New Roman" w:hAnsi="Times New Roman" w:cs="Times New Roman"/>
            <w:color w:val="auto"/>
            <w:sz w:val="24"/>
            <w:szCs w:val="24"/>
          </w:rPr>
          <w:t xml:space="preserve">statisztikai </w:t>
        </w:r>
        <w:proofErr w:type="gramStart"/>
        <w:r w:rsidRPr="00F32607">
          <w:rPr>
            <w:rStyle w:val="Hiperhivatkozs"/>
            <w:rFonts w:ascii="Times New Roman" w:hAnsi="Times New Roman" w:cs="Times New Roman"/>
            <w:color w:val="auto"/>
            <w:sz w:val="24"/>
            <w:szCs w:val="24"/>
          </w:rPr>
          <w:t>közleményében</w:t>
        </w:r>
        <w:proofErr w:type="gramEnd"/>
      </w:hyperlink>
      <w:r w:rsidRPr="00F32607">
        <w:rPr>
          <w:rFonts w:ascii="Times New Roman" w:hAnsi="Times New Roman" w:cs="Times New Roman"/>
          <w:sz w:val="24"/>
          <w:szCs w:val="24"/>
        </w:rPr>
        <w:t xml:space="preserve"> ill. a </w:t>
      </w:r>
      <w:hyperlink r:id="rId10" w:history="1">
        <w:r w:rsidRPr="00F32607">
          <w:rPr>
            <w:rStyle w:val="Hiperhivatkozs"/>
            <w:rFonts w:ascii="Times New Roman" w:hAnsi="Times New Roman" w:cs="Times New Roman"/>
            <w:color w:val="auto"/>
            <w:sz w:val="24"/>
            <w:szCs w:val="24"/>
          </w:rPr>
          <w:t>metaadatoknál</w:t>
        </w:r>
      </w:hyperlink>
      <w:r w:rsidRPr="00F32607">
        <w:rPr>
          <w:rFonts w:ascii="Times New Roman" w:hAnsi="Times New Roman" w:cs="Times New Roman"/>
          <w:sz w:val="24"/>
          <w:szCs w:val="24"/>
        </w:rPr>
        <w:t xml:space="preserve"> vannak részletezve. </w:t>
      </w:r>
    </w:p>
    <w:p w:rsidR="005005E0" w:rsidRPr="00F32607" w:rsidRDefault="005005E0" w:rsidP="00DE4E44">
      <w:pPr>
        <w:jc w:val="both"/>
        <w:rPr>
          <w:rFonts w:ascii="Times New Roman" w:hAnsi="Times New Roman" w:cs="Times New Roman"/>
          <w:sz w:val="24"/>
          <w:szCs w:val="24"/>
        </w:rPr>
      </w:pPr>
    </w:p>
    <w:p w:rsidR="00B611D9" w:rsidRDefault="00677ECF" w:rsidP="00B611D9">
      <w:pPr>
        <w:pStyle w:val="Listaszerbekezds"/>
        <w:numPr>
          <w:ilvl w:val="0"/>
          <w:numId w:val="1"/>
        </w:numPr>
        <w:rPr>
          <w:rFonts w:ascii="Times New Roman" w:hAnsi="Times New Roman" w:cs="Times New Roman"/>
          <w:b/>
          <w:sz w:val="24"/>
          <w:szCs w:val="24"/>
        </w:rPr>
      </w:pPr>
      <w:r w:rsidRPr="00F32607">
        <w:rPr>
          <w:rFonts w:ascii="Times New Roman" w:hAnsi="Times New Roman" w:cs="Times New Roman"/>
          <w:b/>
          <w:sz w:val="24"/>
          <w:szCs w:val="24"/>
        </w:rPr>
        <w:t>A tárgyévi fatermék</w:t>
      </w:r>
      <w:r w:rsidR="00E11D4D">
        <w:rPr>
          <w:rFonts w:ascii="Times New Roman" w:hAnsi="Times New Roman" w:cs="Times New Roman"/>
          <w:b/>
          <w:sz w:val="24"/>
          <w:szCs w:val="24"/>
        </w:rPr>
        <w:t>-</w:t>
      </w:r>
      <w:r w:rsidRPr="00F32607">
        <w:rPr>
          <w:rFonts w:ascii="Times New Roman" w:hAnsi="Times New Roman" w:cs="Times New Roman"/>
          <w:b/>
          <w:sz w:val="24"/>
          <w:szCs w:val="24"/>
        </w:rPr>
        <w:t>értékesítés</w:t>
      </w:r>
    </w:p>
    <w:p w:rsidR="0024737D" w:rsidRPr="0024737D" w:rsidRDefault="0024737D" w:rsidP="0024737D">
      <w:pPr>
        <w:rPr>
          <w:rFonts w:ascii="Times New Roman" w:hAnsi="Times New Roman" w:cs="Times New Roman"/>
          <w:b/>
          <w:sz w:val="24"/>
          <w:szCs w:val="24"/>
        </w:rPr>
      </w:pPr>
    </w:p>
    <w:p w:rsidR="00B611D9" w:rsidRDefault="00EC6A0B" w:rsidP="00990031">
      <w:pPr>
        <w:jc w:val="both"/>
        <w:rPr>
          <w:rFonts w:ascii="Times New Roman" w:hAnsi="Times New Roman" w:cs="Times New Roman"/>
          <w:sz w:val="24"/>
          <w:szCs w:val="24"/>
        </w:rPr>
      </w:pPr>
      <w:r w:rsidRPr="00F32607">
        <w:rPr>
          <w:rFonts w:ascii="Times New Roman" w:hAnsi="Times New Roman" w:cs="Times New Roman"/>
          <w:sz w:val="24"/>
          <w:szCs w:val="24"/>
        </w:rPr>
        <w:t>Az erdőgazdálkodók országos szintre becsült nettó árbevétele 2021-b</w:t>
      </w:r>
      <w:r w:rsidR="003B0869">
        <w:rPr>
          <w:rFonts w:ascii="Times New Roman" w:hAnsi="Times New Roman" w:cs="Times New Roman"/>
          <w:sz w:val="24"/>
          <w:szCs w:val="24"/>
        </w:rPr>
        <w:t>e</w:t>
      </w:r>
      <w:r w:rsidRPr="00F32607">
        <w:rPr>
          <w:rFonts w:ascii="Times New Roman" w:hAnsi="Times New Roman" w:cs="Times New Roman"/>
          <w:sz w:val="24"/>
          <w:szCs w:val="24"/>
        </w:rPr>
        <w:t xml:space="preserve">n </w:t>
      </w:r>
      <w:r w:rsidRPr="00F32607">
        <w:rPr>
          <w:rFonts w:ascii="Times New Roman" w:hAnsi="Times New Roman" w:cs="Times New Roman"/>
          <w:b/>
          <w:sz w:val="24"/>
          <w:szCs w:val="24"/>
        </w:rPr>
        <w:t>98 milliárd Ft</w:t>
      </w:r>
      <w:r w:rsidRPr="00F32607">
        <w:rPr>
          <w:rFonts w:ascii="Times New Roman" w:hAnsi="Times New Roman" w:cs="Times New Roman"/>
          <w:sz w:val="24"/>
          <w:szCs w:val="24"/>
        </w:rPr>
        <w:t xml:space="preserve"> volt, amely többségében (84 milliárd Ft) a mintegy </w:t>
      </w:r>
      <w:r w:rsidRPr="00F32607">
        <w:rPr>
          <w:rFonts w:ascii="Times New Roman" w:hAnsi="Times New Roman" w:cs="Times New Roman"/>
          <w:b/>
          <w:sz w:val="24"/>
          <w:szCs w:val="24"/>
        </w:rPr>
        <w:t>5,4 millió m³</w:t>
      </w:r>
      <w:r w:rsidRPr="00F32607">
        <w:rPr>
          <w:rFonts w:ascii="Times New Roman" w:hAnsi="Times New Roman" w:cs="Times New Roman"/>
          <w:sz w:val="24"/>
          <w:szCs w:val="24"/>
        </w:rPr>
        <w:t xml:space="preserve"> erdei fatermék</w:t>
      </w:r>
      <w:r w:rsidR="0028001F">
        <w:rPr>
          <w:rFonts w:ascii="Times New Roman" w:hAnsi="Times New Roman" w:cs="Times New Roman"/>
          <w:sz w:val="24"/>
          <w:szCs w:val="24"/>
        </w:rPr>
        <w:t>ek</w:t>
      </w:r>
      <w:r w:rsidRPr="00F32607">
        <w:rPr>
          <w:rFonts w:ascii="Times New Roman" w:hAnsi="Times New Roman" w:cs="Times New Roman"/>
          <w:sz w:val="24"/>
          <w:szCs w:val="24"/>
        </w:rPr>
        <w:t xml:space="preserve"> belföldi értékesítéséből származott.</w:t>
      </w:r>
      <w:r w:rsidR="003B0869">
        <w:rPr>
          <w:rFonts w:ascii="Times New Roman" w:hAnsi="Times New Roman" w:cs="Times New Roman"/>
          <w:sz w:val="24"/>
          <w:szCs w:val="24"/>
        </w:rPr>
        <w:t xml:space="preserve"> Külföldi piacra csupán 0,6 millió m³</w:t>
      </w:r>
      <w:proofErr w:type="spellStart"/>
      <w:r w:rsidR="003B0869">
        <w:rPr>
          <w:rFonts w:ascii="Times New Roman" w:hAnsi="Times New Roman" w:cs="Times New Roman"/>
          <w:sz w:val="24"/>
          <w:szCs w:val="24"/>
        </w:rPr>
        <w:t>-nyi</w:t>
      </w:r>
      <w:proofErr w:type="spellEnd"/>
      <w:r w:rsidR="003B0869">
        <w:rPr>
          <w:rFonts w:ascii="Times New Roman" w:hAnsi="Times New Roman" w:cs="Times New Roman"/>
          <w:sz w:val="24"/>
          <w:szCs w:val="24"/>
        </w:rPr>
        <w:t xml:space="preserve"> fatermék került</w:t>
      </w:r>
      <w:r w:rsidR="00323A35">
        <w:rPr>
          <w:rFonts w:ascii="Times New Roman" w:hAnsi="Times New Roman" w:cs="Times New Roman"/>
          <w:sz w:val="24"/>
          <w:szCs w:val="24"/>
        </w:rPr>
        <w:t>.</w:t>
      </w:r>
    </w:p>
    <w:p w:rsidR="00537A15" w:rsidRDefault="00537A15" w:rsidP="00990031">
      <w:pPr>
        <w:jc w:val="both"/>
        <w:rPr>
          <w:rFonts w:ascii="Times New Roman" w:hAnsi="Times New Roman" w:cs="Times New Roman"/>
          <w:sz w:val="24"/>
          <w:szCs w:val="24"/>
        </w:rPr>
      </w:pPr>
      <w:r>
        <w:rPr>
          <w:rFonts w:ascii="Times New Roman" w:hAnsi="Times New Roman" w:cs="Times New Roman"/>
          <w:sz w:val="24"/>
          <w:szCs w:val="24"/>
        </w:rPr>
        <w:t>Mind az értékesített mennyiség, mind az árbevétel jóval magasabb volt az állami szektorban</w:t>
      </w:r>
      <w:r w:rsidR="00E0258D">
        <w:rPr>
          <w:rFonts w:ascii="Times New Roman" w:hAnsi="Times New Roman" w:cs="Times New Roman"/>
          <w:sz w:val="24"/>
          <w:szCs w:val="24"/>
        </w:rPr>
        <w:t xml:space="preserve"> (</w:t>
      </w:r>
      <w:r w:rsidR="00E0258D" w:rsidRPr="00E0258D">
        <w:rPr>
          <w:rFonts w:ascii="Times New Roman" w:hAnsi="Times New Roman" w:cs="Times New Roman"/>
          <w:sz w:val="24"/>
          <w:szCs w:val="24"/>
        </w:rPr>
        <w:fldChar w:fldCharType="begin"/>
      </w:r>
      <w:r w:rsidR="00E0258D" w:rsidRPr="00E0258D">
        <w:rPr>
          <w:rFonts w:ascii="Times New Roman" w:hAnsi="Times New Roman" w:cs="Times New Roman"/>
          <w:sz w:val="24"/>
          <w:szCs w:val="24"/>
        </w:rPr>
        <w:instrText xml:space="preserve"> REF _Ref112321148 \h </w:instrText>
      </w:r>
      <w:r w:rsidR="00E0258D">
        <w:rPr>
          <w:rFonts w:ascii="Times New Roman" w:hAnsi="Times New Roman" w:cs="Times New Roman"/>
          <w:sz w:val="24"/>
          <w:szCs w:val="24"/>
        </w:rPr>
        <w:instrText xml:space="preserve"> \* MERGEFORMAT </w:instrText>
      </w:r>
      <w:r w:rsidR="00E0258D" w:rsidRPr="00E0258D">
        <w:rPr>
          <w:rFonts w:ascii="Times New Roman" w:hAnsi="Times New Roman" w:cs="Times New Roman"/>
          <w:sz w:val="24"/>
          <w:szCs w:val="24"/>
        </w:rPr>
      </w:r>
      <w:r w:rsidR="00E0258D" w:rsidRPr="00E0258D">
        <w:rPr>
          <w:rFonts w:ascii="Times New Roman" w:hAnsi="Times New Roman" w:cs="Times New Roman"/>
          <w:sz w:val="24"/>
          <w:szCs w:val="24"/>
        </w:rPr>
        <w:fldChar w:fldCharType="separate"/>
      </w:r>
      <w:r w:rsidR="00C40258" w:rsidRPr="00C40258">
        <w:rPr>
          <w:rFonts w:ascii="Times New Roman" w:eastAsiaTheme="minorHAnsi" w:hAnsi="Times New Roman" w:cs="Times New Roman"/>
          <w:noProof/>
          <w:sz w:val="24"/>
          <w:szCs w:val="24"/>
          <w:lang w:eastAsia="en-US"/>
        </w:rPr>
        <w:t>1. ábra</w:t>
      </w:r>
      <w:r w:rsidR="00E0258D" w:rsidRPr="00E0258D">
        <w:rPr>
          <w:rFonts w:ascii="Times New Roman" w:hAnsi="Times New Roman" w:cs="Times New Roman"/>
          <w:sz w:val="24"/>
          <w:szCs w:val="24"/>
        </w:rPr>
        <w:fldChar w:fldCharType="end"/>
      </w:r>
      <w:r w:rsidR="00BA1B8D" w:rsidRPr="00BA1B8D">
        <w:rPr>
          <w:rFonts w:ascii="Times New Roman" w:hAnsi="Times New Roman" w:cs="Times New Roman"/>
          <w:sz w:val="24"/>
          <w:szCs w:val="24"/>
        </w:rPr>
        <w:t xml:space="preserve">, </w:t>
      </w:r>
      <w:r w:rsidR="00BA1B8D" w:rsidRPr="00BA1B8D">
        <w:rPr>
          <w:rFonts w:ascii="Times New Roman" w:hAnsi="Times New Roman" w:cs="Times New Roman"/>
          <w:sz w:val="24"/>
          <w:szCs w:val="24"/>
        </w:rPr>
        <w:fldChar w:fldCharType="begin"/>
      </w:r>
      <w:r w:rsidR="00BA1B8D" w:rsidRPr="00BA1B8D">
        <w:rPr>
          <w:rFonts w:ascii="Times New Roman" w:hAnsi="Times New Roman" w:cs="Times New Roman"/>
          <w:sz w:val="24"/>
          <w:szCs w:val="24"/>
        </w:rPr>
        <w:instrText xml:space="preserve"> REF _Ref112328617 \h </w:instrText>
      </w:r>
      <w:r w:rsidR="00BA1B8D">
        <w:rPr>
          <w:rFonts w:ascii="Times New Roman" w:hAnsi="Times New Roman" w:cs="Times New Roman"/>
          <w:sz w:val="24"/>
          <w:szCs w:val="24"/>
        </w:rPr>
        <w:instrText xml:space="preserve"> \* MERGEFORMAT </w:instrText>
      </w:r>
      <w:r w:rsidR="00BA1B8D" w:rsidRPr="00BA1B8D">
        <w:rPr>
          <w:rFonts w:ascii="Times New Roman" w:hAnsi="Times New Roman" w:cs="Times New Roman"/>
          <w:sz w:val="24"/>
          <w:szCs w:val="24"/>
        </w:rPr>
      </w:r>
      <w:r w:rsidR="00BA1B8D" w:rsidRPr="00BA1B8D">
        <w:rPr>
          <w:rFonts w:ascii="Times New Roman" w:hAnsi="Times New Roman" w:cs="Times New Roman"/>
          <w:sz w:val="24"/>
          <w:szCs w:val="24"/>
        </w:rPr>
        <w:fldChar w:fldCharType="separate"/>
      </w:r>
      <w:r w:rsidR="00C40258" w:rsidRPr="00C40258">
        <w:rPr>
          <w:rFonts w:ascii="Times New Roman" w:eastAsiaTheme="minorHAnsi" w:hAnsi="Times New Roman" w:cs="Times New Roman"/>
          <w:noProof/>
          <w:sz w:val="24"/>
          <w:szCs w:val="24"/>
          <w:lang w:eastAsia="en-US"/>
        </w:rPr>
        <w:t>2. ábra</w:t>
      </w:r>
      <w:r w:rsidR="00BA1B8D" w:rsidRPr="00BA1B8D">
        <w:rPr>
          <w:rFonts w:ascii="Times New Roman" w:hAnsi="Times New Roman" w:cs="Times New Roman"/>
          <w:sz w:val="24"/>
          <w:szCs w:val="24"/>
        </w:rPr>
        <w:fldChar w:fldCharType="end"/>
      </w:r>
      <w:r w:rsidR="00E0258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különbség arányaiban az árbevétel esetében magasabb, ami arra utal, hogy az erdei fatermékek </w:t>
      </w:r>
      <w:r w:rsidR="00E11D4D">
        <w:rPr>
          <w:rFonts w:ascii="Times New Roman" w:hAnsi="Times New Roman" w:cs="Times New Roman"/>
          <w:sz w:val="24"/>
          <w:szCs w:val="24"/>
        </w:rPr>
        <w:t>után kapott, fatérfogatra vetített árbevétel</w:t>
      </w:r>
      <w:r>
        <w:rPr>
          <w:rFonts w:ascii="Times New Roman" w:hAnsi="Times New Roman" w:cs="Times New Roman"/>
          <w:sz w:val="24"/>
          <w:szCs w:val="24"/>
        </w:rPr>
        <w:t xml:space="preserve"> is itt volt nagyobb</w:t>
      </w:r>
      <w:r w:rsidR="002A7E35">
        <w:rPr>
          <w:rFonts w:ascii="Times New Roman" w:hAnsi="Times New Roman" w:cs="Times New Roman"/>
          <w:sz w:val="24"/>
          <w:szCs w:val="24"/>
        </w:rPr>
        <w:t>.</w:t>
      </w:r>
    </w:p>
    <w:p w:rsidR="002A7E35" w:rsidRDefault="00E11D4D" w:rsidP="00990031">
      <w:pPr>
        <w:jc w:val="both"/>
        <w:rPr>
          <w:rFonts w:ascii="Times New Roman" w:hAnsi="Times New Roman" w:cs="Times New Roman"/>
          <w:sz w:val="24"/>
          <w:szCs w:val="24"/>
        </w:rPr>
      </w:pPr>
      <w:r>
        <w:rPr>
          <w:rFonts w:ascii="Times New Roman" w:hAnsi="Times New Roman" w:cs="Times New Roman"/>
          <w:sz w:val="24"/>
          <w:szCs w:val="24"/>
        </w:rPr>
        <w:t>A k</w:t>
      </w:r>
      <w:r w:rsidR="002A7E35">
        <w:rPr>
          <w:rFonts w:ascii="Times New Roman" w:hAnsi="Times New Roman" w:cs="Times New Roman"/>
          <w:sz w:val="24"/>
          <w:szCs w:val="24"/>
        </w:rPr>
        <w:t xml:space="preserve">ülföldi értékesítés </w:t>
      </w:r>
      <w:r>
        <w:rPr>
          <w:rFonts w:ascii="Times New Roman" w:hAnsi="Times New Roman" w:cs="Times New Roman"/>
          <w:sz w:val="24"/>
          <w:szCs w:val="24"/>
        </w:rPr>
        <w:t>esetében a</w:t>
      </w:r>
      <w:r w:rsidR="002A7E35">
        <w:rPr>
          <w:rFonts w:ascii="Times New Roman" w:hAnsi="Times New Roman" w:cs="Times New Roman"/>
          <w:sz w:val="24"/>
          <w:szCs w:val="24"/>
        </w:rPr>
        <w:t xml:space="preserve"> térfogatra vetített árbevétel általában magasabb volt a belföldihez képest, ill. az állami erdőgazdálkodók által bevallott árbevétel magasabb volt a magán erdőgazdálkodók által jelentetthez viszonyítva (</w:t>
      </w:r>
      <w:r w:rsidR="002A7E35" w:rsidRPr="002A7E35">
        <w:rPr>
          <w:rFonts w:ascii="Times New Roman" w:hAnsi="Times New Roman" w:cs="Times New Roman"/>
          <w:sz w:val="24"/>
          <w:szCs w:val="24"/>
        </w:rPr>
        <w:fldChar w:fldCharType="begin"/>
      </w:r>
      <w:r w:rsidR="002A7E35" w:rsidRPr="002A7E35">
        <w:rPr>
          <w:rFonts w:ascii="Times New Roman" w:hAnsi="Times New Roman" w:cs="Times New Roman"/>
          <w:sz w:val="24"/>
          <w:szCs w:val="24"/>
        </w:rPr>
        <w:instrText xml:space="preserve"> REF _Ref112326321 \h  \* MERGEFORMAT </w:instrText>
      </w:r>
      <w:r w:rsidR="002A7E35" w:rsidRPr="002A7E35">
        <w:rPr>
          <w:rFonts w:ascii="Times New Roman" w:hAnsi="Times New Roman" w:cs="Times New Roman"/>
          <w:sz w:val="24"/>
          <w:szCs w:val="24"/>
        </w:rPr>
      </w:r>
      <w:r w:rsidR="002A7E35" w:rsidRPr="002A7E35">
        <w:rPr>
          <w:rFonts w:ascii="Times New Roman" w:hAnsi="Times New Roman" w:cs="Times New Roman"/>
          <w:sz w:val="24"/>
          <w:szCs w:val="24"/>
        </w:rPr>
        <w:fldChar w:fldCharType="separate"/>
      </w:r>
      <w:r w:rsidR="00C40258" w:rsidRPr="00C40258">
        <w:rPr>
          <w:rFonts w:ascii="Times New Roman" w:eastAsiaTheme="minorHAnsi" w:hAnsi="Times New Roman" w:cs="Times New Roman"/>
          <w:noProof/>
          <w:sz w:val="24"/>
          <w:szCs w:val="24"/>
          <w:lang w:eastAsia="en-US"/>
        </w:rPr>
        <w:t>3. ábra</w:t>
      </w:r>
      <w:r w:rsidR="002A7E35" w:rsidRPr="002A7E35">
        <w:rPr>
          <w:rFonts w:ascii="Times New Roman" w:hAnsi="Times New Roman" w:cs="Times New Roman"/>
          <w:sz w:val="24"/>
          <w:szCs w:val="24"/>
        </w:rPr>
        <w:fldChar w:fldCharType="end"/>
      </w:r>
      <w:r w:rsidR="002A7E35">
        <w:rPr>
          <w:rFonts w:ascii="Times New Roman" w:hAnsi="Times New Roman" w:cs="Times New Roman"/>
          <w:sz w:val="24"/>
          <w:szCs w:val="24"/>
        </w:rPr>
        <w:t xml:space="preserve">). </w:t>
      </w:r>
      <w:proofErr w:type="gramStart"/>
      <w:r w:rsidR="00F5282D">
        <w:rPr>
          <w:rFonts w:ascii="Times New Roman" w:hAnsi="Times New Roman" w:cs="Times New Roman"/>
          <w:sz w:val="24"/>
          <w:szCs w:val="24"/>
        </w:rPr>
        <w:t>A</w:t>
      </w:r>
      <w:proofErr w:type="gramEnd"/>
      <w:r w:rsidR="00F5282D">
        <w:rPr>
          <w:rFonts w:ascii="Times New Roman" w:hAnsi="Times New Roman" w:cs="Times New Roman"/>
          <w:sz w:val="24"/>
          <w:szCs w:val="24"/>
        </w:rPr>
        <w:t xml:space="preserve"> külföldi értékesítés aránya csupán az állami szektorban volt számottevő (</w:t>
      </w:r>
      <w:r w:rsidR="00F5282D" w:rsidRPr="00F5282D">
        <w:rPr>
          <w:rFonts w:ascii="Times New Roman" w:hAnsi="Times New Roman" w:cs="Times New Roman"/>
          <w:sz w:val="24"/>
          <w:szCs w:val="24"/>
        </w:rPr>
        <w:fldChar w:fldCharType="begin"/>
      </w:r>
      <w:r w:rsidR="00F5282D" w:rsidRPr="00F5282D">
        <w:rPr>
          <w:rFonts w:ascii="Times New Roman" w:hAnsi="Times New Roman" w:cs="Times New Roman"/>
          <w:sz w:val="24"/>
          <w:szCs w:val="24"/>
        </w:rPr>
        <w:instrText xml:space="preserve"> REF _Ref112327601 \h </w:instrText>
      </w:r>
      <w:r w:rsidR="00F5282D">
        <w:rPr>
          <w:rFonts w:ascii="Times New Roman" w:hAnsi="Times New Roman" w:cs="Times New Roman"/>
          <w:sz w:val="24"/>
          <w:szCs w:val="24"/>
        </w:rPr>
        <w:instrText xml:space="preserve"> \* MERGEFORMAT </w:instrText>
      </w:r>
      <w:r w:rsidR="00F5282D" w:rsidRPr="00F5282D">
        <w:rPr>
          <w:rFonts w:ascii="Times New Roman" w:hAnsi="Times New Roman" w:cs="Times New Roman"/>
          <w:sz w:val="24"/>
          <w:szCs w:val="24"/>
        </w:rPr>
      </w:r>
      <w:r w:rsidR="00F5282D" w:rsidRPr="00F5282D">
        <w:rPr>
          <w:rFonts w:ascii="Times New Roman" w:hAnsi="Times New Roman" w:cs="Times New Roman"/>
          <w:sz w:val="24"/>
          <w:szCs w:val="24"/>
        </w:rPr>
        <w:fldChar w:fldCharType="separate"/>
      </w:r>
      <w:r w:rsidR="00C40258" w:rsidRPr="00C40258">
        <w:rPr>
          <w:rFonts w:ascii="Times New Roman" w:eastAsiaTheme="minorHAnsi" w:hAnsi="Times New Roman" w:cs="Times New Roman"/>
          <w:noProof/>
          <w:sz w:val="24"/>
          <w:szCs w:val="24"/>
          <w:lang w:eastAsia="en-US"/>
        </w:rPr>
        <w:t>4. ábra</w:t>
      </w:r>
      <w:r w:rsidR="00F5282D" w:rsidRPr="00F5282D">
        <w:rPr>
          <w:rFonts w:ascii="Times New Roman" w:hAnsi="Times New Roman" w:cs="Times New Roman"/>
          <w:sz w:val="24"/>
          <w:szCs w:val="24"/>
        </w:rPr>
        <w:fldChar w:fldCharType="end"/>
      </w:r>
      <w:r w:rsidR="00F5282D">
        <w:rPr>
          <w:rFonts w:ascii="Times New Roman" w:hAnsi="Times New Roman" w:cs="Times New Roman"/>
          <w:sz w:val="24"/>
          <w:szCs w:val="24"/>
        </w:rPr>
        <w:t>).</w:t>
      </w:r>
    </w:p>
    <w:p w:rsidR="00323A35" w:rsidRDefault="00537A15" w:rsidP="00990031">
      <w:pPr>
        <w:jc w:val="both"/>
        <w:rPr>
          <w:rFonts w:ascii="Times New Roman" w:hAnsi="Times New Roman" w:cs="Times New Roman"/>
          <w:sz w:val="24"/>
          <w:szCs w:val="24"/>
        </w:rPr>
      </w:pPr>
      <w:r>
        <w:rPr>
          <w:noProof/>
        </w:rPr>
        <w:lastRenderedPageBreak/>
        <w:drawing>
          <wp:inline distT="0" distB="0" distL="0" distR="0" wp14:anchorId="44C1D385" wp14:editId="5ADC7AB1">
            <wp:extent cx="5760720" cy="38308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830885"/>
                    </a:xfrm>
                    <a:prstGeom prst="rect">
                      <a:avLst/>
                    </a:prstGeom>
                  </pic:spPr>
                </pic:pic>
              </a:graphicData>
            </a:graphic>
          </wp:inline>
        </w:drawing>
      </w:r>
    </w:p>
    <w:bookmarkStart w:id="1" w:name="_Ref112321148"/>
    <w:p w:rsidR="00653A31" w:rsidRDefault="00653A31" w:rsidP="00E0258D">
      <w:pPr>
        <w:pStyle w:val="Kpalrs"/>
        <w:jc w:val="center"/>
        <w:rPr>
          <w:rFonts w:ascii="Times New Roman" w:eastAsiaTheme="minorHAnsi" w:hAnsi="Times New Roman" w:cs="Times New Roman"/>
          <w:b w:val="0"/>
          <w:noProof/>
          <w:color w:val="auto"/>
          <w:lang w:eastAsia="en-US"/>
        </w:rPr>
      </w:pPr>
      <w:r w:rsidRPr="00E0258D">
        <w:rPr>
          <w:rFonts w:ascii="Times New Roman" w:eastAsiaTheme="minorHAnsi" w:hAnsi="Times New Roman" w:cs="Times New Roman"/>
          <w:noProof/>
          <w:color w:val="auto"/>
          <w:lang w:eastAsia="en-US"/>
        </w:rPr>
        <w:fldChar w:fldCharType="begin"/>
      </w:r>
      <w:r w:rsidRPr="00E0258D">
        <w:rPr>
          <w:rFonts w:ascii="Times New Roman" w:eastAsiaTheme="minorHAnsi" w:hAnsi="Times New Roman" w:cs="Times New Roman"/>
          <w:noProof/>
          <w:color w:val="auto"/>
          <w:lang w:eastAsia="en-US"/>
        </w:rPr>
        <w:instrText xml:space="preserve"> SEQ ábra \* ARABIC </w:instrText>
      </w:r>
      <w:r w:rsidRPr="00E0258D">
        <w:rPr>
          <w:rFonts w:ascii="Times New Roman" w:eastAsiaTheme="minorHAnsi" w:hAnsi="Times New Roman" w:cs="Times New Roman"/>
          <w:noProof/>
          <w:color w:val="auto"/>
          <w:lang w:eastAsia="en-US"/>
        </w:rPr>
        <w:fldChar w:fldCharType="separate"/>
      </w:r>
      <w:r w:rsidR="00C40258">
        <w:rPr>
          <w:rFonts w:ascii="Times New Roman" w:eastAsiaTheme="minorHAnsi" w:hAnsi="Times New Roman" w:cs="Times New Roman"/>
          <w:noProof/>
          <w:color w:val="auto"/>
          <w:lang w:eastAsia="en-US"/>
        </w:rPr>
        <w:t>1</w:t>
      </w:r>
      <w:r w:rsidRPr="00E0258D">
        <w:rPr>
          <w:rFonts w:ascii="Times New Roman" w:eastAsiaTheme="minorHAnsi" w:hAnsi="Times New Roman" w:cs="Times New Roman"/>
          <w:noProof/>
          <w:color w:val="auto"/>
          <w:lang w:eastAsia="en-US"/>
        </w:rPr>
        <w:fldChar w:fldCharType="end"/>
      </w:r>
      <w:r w:rsidRPr="00E0258D">
        <w:rPr>
          <w:rFonts w:ascii="Times New Roman" w:eastAsiaTheme="minorHAnsi" w:hAnsi="Times New Roman" w:cs="Times New Roman"/>
          <w:noProof/>
          <w:color w:val="auto"/>
          <w:lang w:eastAsia="en-US"/>
        </w:rPr>
        <w:t>. ábra</w:t>
      </w:r>
      <w:bookmarkEnd w:id="1"/>
      <w:r w:rsidRPr="00E0258D">
        <w:rPr>
          <w:rFonts w:ascii="Times New Roman" w:eastAsiaTheme="minorHAnsi" w:hAnsi="Times New Roman" w:cs="Times New Roman"/>
          <w:noProof/>
          <w:color w:val="auto"/>
          <w:lang w:eastAsia="en-US"/>
        </w:rPr>
        <w:t xml:space="preserve"> </w:t>
      </w:r>
      <w:r w:rsidRPr="00E0258D">
        <w:rPr>
          <w:rFonts w:ascii="Times New Roman" w:eastAsiaTheme="minorHAnsi" w:hAnsi="Times New Roman" w:cs="Times New Roman"/>
          <w:b w:val="0"/>
          <w:noProof/>
          <w:color w:val="auto"/>
          <w:lang w:eastAsia="en-US"/>
        </w:rPr>
        <w:t>Az erdei fatermékek értékesítéséből származó árbevétel ill. az értékesített mennyiség megoszlása az állami és a magánszektor között.</w:t>
      </w:r>
    </w:p>
    <w:p w:rsidR="00BA1B8D" w:rsidRDefault="00BA1B8D" w:rsidP="00BA1B8D">
      <w:pPr>
        <w:rPr>
          <w:lang w:eastAsia="en-US"/>
        </w:rPr>
      </w:pPr>
      <w:r>
        <w:rPr>
          <w:noProof/>
        </w:rPr>
        <w:drawing>
          <wp:inline distT="0" distB="0" distL="0" distR="0" wp14:anchorId="575BCF49" wp14:editId="782C0E70">
            <wp:extent cx="5760720" cy="383088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830885"/>
                    </a:xfrm>
                    <a:prstGeom prst="rect">
                      <a:avLst/>
                    </a:prstGeom>
                  </pic:spPr>
                </pic:pic>
              </a:graphicData>
            </a:graphic>
          </wp:inline>
        </w:drawing>
      </w:r>
    </w:p>
    <w:bookmarkStart w:id="2" w:name="_Ref112328617"/>
    <w:p w:rsidR="00BA1B8D" w:rsidRPr="00BA1B8D" w:rsidRDefault="00BA1B8D" w:rsidP="00BA1B8D">
      <w:pPr>
        <w:pStyle w:val="Kpalrs"/>
        <w:jc w:val="center"/>
        <w:rPr>
          <w:rFonts w:ascii="Times New Roman" w:eastAsiaTheme="minorHAnsi" w:hAnsi="Times New Roman" w:cs="Times New Roman"/>
          <w:noProof/>
          <w:color w:val="auto"/>
          <w:lang w:eastAsia="en-US"/>
        </w:rPr>
      </w:pPr>
      <w:r w:rsidRPr="00BA1B8D">
        <w:rPr>
          <w:rFonts w:ascii="Times New Roman" w:eastAsiaTheme="minorHAnsi" w:hAnsi="Times New Roman" w:cs="Times New Roman"/>
          <w:noProof/>
          <w:color w:val="auto"/>
          <w:lang w:eastAsia="en-US"/>
        </w:rPr>
        <w:fldChar w:fldCharType="begin"/>
      </w:r>
      <w:r w:rsidRPr="00BA1B8D">
        <w:rPr>
          <w:rFonts w:ascii="Times New Roman" w:eastAsiaTheme="minorHAnsi" w:hAnsi="Times New Roman" w:cs="Times New Roman"/>
          <w:noProof/>
          <w:color w:val="auto"/>
          <w:lang w:eastAsia="en-US"/>
        </w:rPr>
        <w:instrText xml:space="preserve"> SEQ ábra \* ARABIC </w:instrText>
      </w:r>
      <w:r w:rsidRPr="00BA1B8D">
        <w:rPr>
          <w:rFonts w:ascii="Times New Roman" w:eastAsiaTheme="minorHAnsi" w:hAnsi="Times New Roman" w:cs="Times New Roman"/>
          <w:noProof/>
          <w:color w:val="auto"/>
          <w:lang w:eastAsia="en-US"/>
        </w:rPr>
        <w:fldChar w:fldCharType="separate"/>
      </w:r>
      <w:r w:rsidR="00C40258">
        <w:rPr>
          <w:rFonts w:ascii="Times New Roman" w:eastAsiaTheme="minorHAnsi" w:hAnsi="Times New Roman" w:cs="Times New Roman"/>
          <w:noProof/>
          <w:color w:val="auto"/>
          <w:lang w:eastAsia="en-US"/>
        </w:rPr>
        <w:t>2</w:t>
      </w:r>
      <w:r w:rsidRPr="00BA1B8D">
        <w:rPr>
          <w:rFonts w:ascii="Times New Roman" w:eastAsiaTheme="minorHAnsi" w:hAnsi="Times New Roman" w:cs="Times New Roman"/>
          <w:noProof/>
          <w:color w:val="auto"/>
          <w:lang w:eastAsia="en-US"/>
        </w:rPr>
        <w:fldChar w:fldCharType="end"/>
      </w:r>
      <w:r w:rsidRPr="00BA1B8D">
        <w:rPr>
          <w:rFonts w:ascii="Times New Roman" w:eastAsiaTheme="minorHAnsi" w:hAnsi="Times New Roman" w:cs="Times New Roman"/>
          <w:noProof/>
          <w:color w:val="auto"/>
          <w:lang w:eastAsia="en-US"/>
        </w:rPr>
        <w:t>. ábra</w:t>
      </w:r>
      <w:bookmarkEnd w:id="2"/>
      <w:r w:rsidRPr="00BA1B8D">
        <w:rPr>
          <w:rFonts w:ascii="Times New Roman" w:eastAsiaTheme="minorHAnsi" w:hAnsi="Times New Roman" w:cs="Times New Roman"/>
          <w:noProof/>
          <w:color w:val="auto"/>
          <w:lang w:eastAsia="en-US"/>
        </w:rPr>
        <w:t xml:space="preserve"> </w:t>
      </w:r>
      <w:r w:rsidRPr="00BA1B8D">
        <w:rPr>
          <w:rFonts w:ascii="Times New Roman" w:eastAsiaTheme="minorHAnsi" w:hAnsi="Times New Roman" w:cs="Times New Roman"/>
          <w:b w:val="0"/>
          <w:noProof/>
          <w:color w:val="auto"/>
          <w:lang w:eastAsia="en-US"/>
        </w:rPr>
        <w:t>Egyes fatermékek bel- és külföldön értékesített mennyisége az állami és a magánszektorban.</w:t>
      </w:r>
    </w:p>
    <w:p w:rsidR="002A7E35" w:rsidRDefault="002A7E35" w:rsidP="00891FAB">
      <w:pPr>
        <w:jc w:val="both"/>
        <w:rPr>
          <w:rFonts w:ascii="Times New Roman" w:hAnsi="Times New Roman" w:cs="Times New Roman"/>
          <w:sz w:val="24"/>
          <w:szCs w:val="24"/>
        </w:rPr>
      </w:pPr>
      <w:r>
        <w:rPr>
          <w:noProof/>
        </w:rPr>
        <w:lastRenderedPageBreak/>
        <w:drawing>
          <wp:inline distT="0" distB="0" distL="0" distR="0" wp14:anchorId="3DDBA00D" wp14:editId="2D97F302">
            <wp:extent cx="5760720" cy="383088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830885"/>
                    </a:xfrm>
                    <a:prstGeom prst="rect">
                      <a:avLst/>
                    </a:prstGeom>
                  </pic:spPr>
                </pic:pic>
              </a:graphicData>
            </a:graphic>
          </wp:inline>
        </w:drawing>
      </w:r>
    </w:p>
    <w:bookmarkStart w:id="3" w:name="_Ref112326321"/>
    <w:p w:rsidR="002A7E35" w:rsidRPr="002A7E35" w:rsidRDefault="002A7E35" w:rsidP="002A7E35">
      <w:pPr>
        <w:pStyle w:val="Kpalrs"/>
        <w:jc w:val="center"/>
        <w:rPr>
          <w:rFonts w:ascii="Times New Roman" w:eastAsiaTheme="minorHAnsi" w:hAnsi="Times New Roman" w:cs="Times New Roman"/>
          <w:b w:val="0"/>
          <w:noProof/>
          <w:color w:val="auto"/>
          <w:lang w:eastAsia="en-US"/>
        </w:rPr>
      </w:pPr>
      <w:r w:rsidRPr="002A7E35">
        <w:rPr>
          <w:rFonts w:ascii="Times New Roman" w:eastAsiaTheme="minorHAnsi" w:hAnsi="Times New Roman" w:cs="Times New Roman"/>
          <w:noProof/>
          <w:color w:val="auto"/>
          <w:lang w:eastAsia="en-US"/>
        </w:rPr>
        <w:fldChar w:fldCharType="begin"/>
      </w:r>
      <w:r w:rsidRPr="002A7E35">
        <w:rPr>
          <w:rFonts w:ascii="Times New Roman" w:eastAsiaTheme="minorHAnsi" w:hAnsi="Times New Roman" w:cs="Times New Roman"/>
          <w:noProof/>
          <w:color w:val="auto"/>
          <w:lang w:eastAsia="en-US"/>
        </w:rPr>
        <w:instrText xml:space="preserve"> SEQ ábra \* ARABIC </w:instrText>
      </w:r>
      <w:r w:rsidRPr="002A7E35">
        <w:rPr>
          <w:rFonts w:ascii="Times New Roman" w:eastAsiaTheme="minorHAnsi" w:hAnsi="Times New Roman" w:cs="Times New Roman"/>
          <w:noProof/>
          <w:color w:val="auto"/>
          <w:lang w:eastAsia="en-US"/>
        </w:rPr>
        <w:fldChar w:fldCharType="separate"/>
      </w:r>
      <w:r w:rsidR="00C40258">
        <w:rPr>
          <w:rFonts w:ascii="Times New Roman" w:eastAsiaTheme="minorHAnsi" w:hAnsi="Times New Roman" w:cs="Times New Roman"/>
          <w:noProof/>
          <w:color w:val="auto"/>
          <w:lang w:eastAsia="en-US"/>
        </w:rPr>
        <w:t>3</w:t>
      </w:r>
      <w:r w:rsidRPr="002A7E35">
        <w:rPr>
          <w:rFonts w:ascii="Times New Roman" w:eastAsiaTheme="minorHAnsi" w:hAnsi="Times New Roman" w:cs="Times New Roman"/>
          <w:noProof/>
          <w:color w:val="auto"/>
          <w:lang w:eastAsia="en-US"/>
        </w:rPr>
        <w:fldChar w:fldCharType="end"/>
      </w:r>
      <w:r w:rsidRPr="002A7E35">
        <w:rPr>
          <w:rFonts w:ascii="Times New Roman" w:eastAsiaTheme="minorHAnsi" w:hAnsi="Times New Roman" w:cs="Times New Roman"/>
          <w:noProof/>
          <w:color w:val="auto"/>
          <w:lang w:eastAsia="en-US"/>
        </w:rPr>
        <w:t>. ábra</w:t>
      </w:r>
      <w:bookmarkEnd w:id="3"/>
      <w:r w:rsidRPr="002A7E35">
        <w:rPr>
          <w:rFonts w:ascii="Times New Roman" w:eastAsiaTheme="minorHAnsi" w:hAnsi="Times New Roman" w:cs="Times New Roman"/>
          <w:noProof/>
          <w:color w:val="auto"/>
          <w:lang w:eastAsia="en-US"/>
        </w:rPr>
        <w:t xml:space="preserve"> </w:t>
      </w:r>
      <w:r w:rsidRPr="002A7E35">
        <w:rPr>
          <w:rFonts w:ascii="Times New Roman" w:eastAsiaTheme="minorHAnsi" w:hAnsi="Times New Roman" w:cs="Times New Roman"/>
          <w:b w:val="0"/>
          <w:noProof/>
          <w:color w:val="auto"/>
          <w:lang w:eastAsia="en-US"/>
        </w:rPr>
        <w:t>Egyes fatermékek bel- ill. külföldi értékesítése után kapott, térfogatra vetített árbevétel az állami és a magánszektorban.</w:t>
      </w:r>
    </w:p>
    <w:p w:rsidR="0066269E" w:rsidRDefault="0066269E" w:rsidP="00891FAB">
      <w:pPr>
        <w:jc w:val="both"/>
        <w:rPr>
          <w:rFonts w:ascii="Times New Roman" w:hAnsi="Times New Roman" w:cs="Times New Roman"/>
          <w:sz w:val="24"/>
          <w:szCs w:val="24"/>
        </w:rPr>
      </w:pPr>
      <w:r>
        <w:rPr>
          <w:noProof/>
        </w:rPr>
        <w:drawing>
          <wp:inline distT="0" distB="0" distL="0" distR="0" wp14:anchorId="395256DD" wp14:editId="26DB2C89">
            <wp:extent cx="5760720" cy="383088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830885"/>
                    </a:xfrm>
                    <a:prstGeom prst="rect">
                      <a:avLst/>
                    </a:prstGeom>
                  </pic:spPr>
                </pic:pic>
              </a:graphicData>
            </a:graphic>
          </wp:inline>
        </w:drawing>
      </w:r>
    </w:p>
    <w:bookmarkStart w:id="4" w:name="_Ref112327601"/>
    <w:p w:rsidR="0066269E" w:rsidRPr="0066269E" w:rsidRDefault="0066269E" w:rsidP="0066269E">
      <w:pPr>
        <w:pStyle w:val="Kpalrs"/>
        <w:jc w:val="center"/>
        <w:rPr>
          <w:rFonts w:ascii="Times New Roman" w:eastAsiaTheme="minorHAnsi" w:hAnsi="Times New Roman" w:cs="Times New Roman"/>
          <w:noProof/>
          <w:color w:val="auto"/>
          <w:lang w:eastAsia="en-US"/>
        </w:rPr>
      </w:pPr>
      <w:r w:rsidRPr="0066269E">
        <w:rPr>
          <w:rFonts w:ascii="Times New Roman" w:eastAsiaTheme="minorHAnsi" w:hAnsi="Times New Roman" w:cs="Times New Roman"/>
          <w:noProof/>
          <w:color w:val="auto"/>
          <w:lang w:eastAsia="en-US"/>
        </w:rPr>
        <w:fldChar w:fldCharType="begin"/>
      </w:r>
      <w:r w:rsidRPr="0066269E">
        <w:rPr>
          <w:rFonts w:ascii="Times New Roman" w:eastAsiaTheme="minorHAnsi" w:hAnsi="Times New Roman" w:cs="Times New Roman"/>
          <w:noProof/>
          <w:color w:val="auto"/>
          <w:lang w:eastAsia="en-US"/>
        </w:rPr>
        <w:instrText xml:space="preserve"> SEQ ábra \* ARABIC </w:instrText>
      </w:r>
      <w:r w:rsidRPr="0066269E">
        <w:rPr>
          <w:rFonts w:ascii="Times New Roman" w:eastAsiaTheme="minorHAnsi" w:hAnsi="Times New Roman" w:cs="Times New Roman"/>
          <w:noProof/>
          <w:color w:val="auto"/>
          <w:lang w:eastAsia="en-US"/>
        </w:rPr>
        <w:fldChar w:fldCharType="separate"/>
      </w:r>
      <w:r w:rsidR="00C40258">
        <w:rPr>
          <w:rFonts w:ascii="Times New Roman" w:eastAsiaTheme="minorHAnsi" w:hAnsi="Times New Roman" w:cs="Times New Roman"/>
          <w:noProof/>
          <w:color w:val="auto"/>
          <w:lang w:eastAsia="en-US"/>
        </w:rPr>
        <w:t>4</w:t>
      </w:r>
      <w:r w:rsidRPr="0066269E">
        <w:rPr>
          <w:rFonts w:ascii="Times New Roman" w:eastAsiaTheme="minorHAnsi" w:hAnsi="Times New Roman" w:cs="Times New Roman"/>
          <w:noProof/>
          <w:color w:val="auto"/>
          <w:lang w:eastAsia="en-US"/>
        </w:rPr>
        <w:fldChar w:fldCharType="end"/>
      </w:r>
      <w:r w:rsidRPr="0066269E">
        <w:rPr>
          <w:rFonts w:ascii="Times New Roman" w:eastAsiaTheme="minorHAnsi" w:hAnsi="Times New Roman" w:cs="Times New Roman"/>
          <w:noProof/>
          <w:color w:val="auto"/>
          <w:lang w:eastAsia="en-US"/>
        </w:rPr>
        <w:t>. ábra</w:t>
      </w:r>
      <w:bookmarkEnd w:id="4"/>
      <w:r w:rsidRPr="0066269E">
        <w:rPr>
          <w:rFonts w:ascii="Times New Roman" w:eastAsiaTheme="minorHAnsi" w:hAnsi="Times New Roman" w:cs="Times New Roman"/>
          <w:noProof/>
          <w:color w:val="auto"/>
          <w:lang w:eastAsia="en-US"/>
        </w:rPr>
        <w:t xml:space="preserve"> </w:t>
      </w:r>
      <w:r w:rsidRPr="0066269E">
        <w:rPr>
          <w:rFonts w:ascii="Times New Roman" w:eastAsiaTheme="minorHAnsi" w:hAnsi="Times New Roman" w:cs="Times New Roman"/>
          <w:b w:val="0"/>
          <w:noProof/>
          <w:color w:val="auto"/>
          <w:lang w:eastAsia="en-US"/>
        </w:rPr>
        <w:t>Egyes fatermékek külföldre történő értékesítésének aránya az állami és a magánszektorban.</w:t>
      </w:r>
    </w:p>
    <w:p w:rsidR="00F3436D" w:rsidRDefault="00F3436D" w:rsidP="00891FAB">
      <w:pPr>
        <w:jc w:val="both"/>
        <w:rPr>
          <w:rFonts w:ascii="Times New Roman" w:hAnsi="Times New Roman" w:cs="Times New Roman"/>
          <w:sz w:val="24"/>
          <w:szCs w:val="24"/>
        </w:rPr>
      </w:pPr>
    </w:p>
    <w:p w:rsidR="0024737D" w:rsidRPr="0024737D" w:rsidRDefault="0024737D" w:rsidP="0024737D">
      <w:pPr>
        <w:ind w:left="720"/>
        <w:rPr>
          <w:rFonts w:ascii="Times New Roman" w:hAnsi="Times New Roman" w:cs="Times New Roman"/>
          <w:b/>
          <w:sz w:val="24"/>
          <w:szCs w:val="24"/>
        </w:rPr>
      </w:pPr>
    </w:p>
    <w:p w:rsidR="00677ECF" w:rsidRDefault="00B73A00" w:rsidP="00677ECF">
      <w:pPr>
        <w:pStyle w:val="Listaszerbekezds"/>
        <w:numPr>
          <w:ilvl w:val="0"/>
          <w:numId w:val="1"/>
        </w:numPr>
        <w:rPr>
          <w:rFonts w:ascii="Times New Roman" w:hAnsi="Times New Roman" w:cs="Times New Roman"/>
          <w:b/>
          <w:sz w:val="24"/>
          <w:szCs w:val="24"/>
        </w:rPr>
      </w:pPr>
      <w:r>
        <w:rPr>
          <w:rFonts w:ascii="Times New Roman" w:hAnsi="Times New Roman" w:cs="Times New Roman"/>
          <w:b/>
          <w:sz w:val="24"/>
          <w:szCs w:val="24"/>
        </w:rPr>
        <w:t>A</w:t>
      </w:r>
      <w:r w:rsidR="005E24B7">
        <w:rPr>
          <w:rFonts w:ascii="Times New Roman" w:hAnsi="Times New Roman" w:cs="Times New Roman"/>
          <w:b/>
          <w:sz w:val="24"/>
          <w:szCs w:val="24"/>
        </w:rPr>
        <w:t>z értékesített mennyiség</w:t>
      </w:r>
      <w:r>
        <w:rPr>
          <w:rFonts w:ascii="Times New Roman" w:hAnsi="Times New Roman" w:cs="Times New Roman"/>
          <w:b/>
          <w:sz w:val="24"/>
          <w:szCs w:val="24"/>
        </w:rPr>
        <w:t xml:space="preserve"> és az ahhoz kapcsolódó árbevétel változása</w:t>
      </w:r>
    </w:p>
    <w:p w:rsidR="0024737D" w:rsidRPr="0024737D" w:rsidRDefault="0024737D" w:rsidP="0024737D">
      <w:pPr>
        <w:rPr>
          <w:rFonts w:ascii="Times New Roman" w:hAnsi="Times New Roman" w:cs="Times New Roman"/>
          <w:b/>
          <w:sz w:val="24"/>
          <w:szCs w:val="24"/>
        </w:rPr>
      </w:pPr>
    </w:p>
    <w:p w:rsidR="00F32607" w:rsidRPr="00E11D4D" w:rsidRDefault="005E24B7" w:rsidP="005E24B7">
      <w:pPr>
        <w:jc w:val="both"/>
        <w:rPr>
          <w:rFonts w:ascii="Times New Roman" w:hAnsi="Times New Roman" w:cs="Times New Roman"/>
          <w:sz w:val="24"/>
          <w:szCs w:val="24"/>
        </w:rPr>
      </w:pPr>
      <w:r w:rsidRPr="00E11D4D">
        <w:rPr>
          <w:rFonts w:ascii="Times New Roman" w:hAnsi="Times New Roman" w:cs="Times New Roman"/>
          <w:sz w:val="24"/>
          <w:szCs w:val="24"/>
        </w:rPr>
        <w:t>A mintavételi és adatfeldolgozási módszerek 2020 előtt nem tették lehetővé országos szintre becsült statisztikák előállítását. Idősorok elemzésének ezért csupán az állami erdőgazdaságok esetén volt értelme. Jelen statisztikai közleményben az országos szintű változásokat mutatjuk be a 2020-2021. időszakra vonatkozóan.</w:t>
      </w:r>
    </w:p>
    <w:p w:rsidR="005E24B7" w:rsidRDefault="005E24B7" w:rsidP="005E24B7">
      <w:pPr>
        <w:jc w:val="both"/>
        <w:rPr>
          <w:rFonts w:ascii="Times New Roman" w:hAnsi="Times New Roman" w:cs="Times New Roman"/>
          <w:sz w:val="24"/>
          <w:szCs w:val="24"/>
        </w:rPr>
      </w:pPr>
      <w:r w:rsidRPr="00E11D4D">
        <w:rPr>
          <w:rFonts w:ascii="Times New Roman" w:hAnsi="Times New Roman" w:cs="Times New Roman"/>
          <w:sz w:val="24"/>
          <w:szCs w:val="24"/>
        </w:rPr>
        <w:t xml:space="preserve">A megnövekedett fakitermeléssel (ld. a tárgyévi OSAP 1257 sz. statisztikai közleményt) összhangban több faterméket értékesítettek 2021-ben a hazai és </w:t>
      </w:r>
      <w:r w:rsidR="00E11D4D">
        <w:rPr>
          <w:rFonts w:ascii="Times New Roman" w:hAnsi="Times New Roman" w:cs="Times New Roman"/>
          <w:sz w:val="24"/>
          <w:szCs w:val="24"/>
        </w:rPr>
        <w:t xml:space="preserve">a </w:t>
      </w:r>
      <w:r w:rsidRPr="00E11D4D">
        <w:rPr>
          <w:rFonts w:ascii="Times New Roman" w:hAnsi="Times New Roman" w:cs="Times New Roman"/>
          <w:sz w:val="24"/>
          <w:szCs w:val="24"/>
        </w:rPr>
        <w:t>külföldi piacon egyaránt (</w:t>
      </w:r>
      <w:r w:rsidRPr="00E11D4D">
        <w:rPr>
          <w:rFonts w:ascii="Times New Roman" w:hAnsi="Times New Roman" w:cs="Times New Roman"/>
          <w:sz w:val="24"/>
          <w:szCs w:val="24"/>
        </w:rPr>
        <w:fldChar w:fldCharType="begin"/>
      </w:r>
      <w:r w:rsidRPr="00E11D4D">
        <w:rPr>
          <w:rFonts w:ascii="Times New Roman" w:hAnsi="Times New Roman" w:cs="Times New Roman"/>
          <w:sz w:val="24"/>
          <w:szCs w:val="24"/>
        </w:rPr>
        <w:instrText xml:space="preserve"> REF _Ref112334322 \h  \* MERGEFORMAT </w:instrText>
      </w:r>
      <w:r w:rsidRPr="00E11D4D">
        <w:rPr>
          <w:rFonts w:ascii="Times New Roman" w:hAnsi="Times New Roman" w:cs="Times New Roman"/>
          <w:sz w:val="24"/>
          <w:szCs w:val="24"/>
        </w:rPr>
      </w:r>
      <w:r w:rsidRPr="00E11D4D">
        <w:rPr>
          <w:rFonts w:ascii="Times New Roman" w:hAnsi="Times New Roman" w:cs="Times New Roman"/>
          <w:sz w:val="24"/>
          <w:szCs w:val="24"/>
        </w:rPr>
        <w:fldChar w:fldCharType="separate"/>
      </w:r>
      <w:r w:rsidR="00C40258" w:rsidRPr="00E11D4D">
        <w:rPr>
          <w:rFonts w:ascii="Times New Roman" w:eastAsiaTheme="minorHAnsi" w:hAnsi="Times New Roman" w:cs="Times New Roman"/>
          <w:noProof/>
          <w:sz w:val="24"/>
          <w:szCs w:val="24"/>
          <w:lang w:eastAsia="en-US"/>
        </w:rPr>
        <w:t>5. ábra</w:t>
      </w:r>
      <w:r w:rsidRPr="00E11D4D">
        <w:rPr>
          <w:rFonts w:ascii="Times New Roman" w:hAnsi="Times New Roman" w:cs="Times New Roman"/>
          <w:sz w:val="24"/>
          <w:szCs w:val="24"/>
        </w:rPr>
        <w:fldChar w:fldCharType="end"/>
      </w:r>
      <w:r w:rsidRPr="00E11D4D">
        <w:rPr>
          <w:rFonts w:ascii="Times New Roman" w:hAnsi="Times New Roman" w:cs="Times New Roman"/>
          <w:sz w:val="24"/>
          <w:szCs w:val="24"/>
        </w:rPr>
        <w:t>)</w:t>
      </w:r>
      <w:r w:rsidR="00AE5BBC" w:rsidRPr="00E11D4D">
        <w:rPr>
          <w:rFonts w:ascii="Times New Roman" w:hAnsi="Times New Roman" w:cs="Times New Roman"/>
          <w:sz w:val="24"/>
          <w:szCs w:val="24"/>
        </w:rPr>
        <w:t>, ami jelentős árbevételi többletet jelentett (</w:t>
      </w:r>
      <w:r w:rsidR="00AE5BBC" w:rsidRPr="00E11D4D">
        <w:rPr>
          <w:rFonts w:ascii="Times New Roman" w:hAnsi="Times New Roman" w:cs="Times New Roman"/>
          <w:sz w:val="24"/>
          <w:szCs w:val="24"/>
        </w:rPr>
        <w:fldChar w:fldCharType="begin"/>
      </w:r>
      <w:r w:rsidR="00AE5BBC" w:rsidRPr="00E11D4D">
        <w:rPr>
          <w:rFonts w:ascii="Times New Roman" w:hAnsi="Times New Roman" w:cs="Times New Roman"/>
          <w:sz w:val="24"/>
          <w:szCs w:val="24"/>
        </w:rPr>
        <w:instrText xml:space="preserve"> REF _Ref112335084 \h  \* MERGEFORMAT </w:instrText>
      </w:r>
      <w:r w:rsidR="00AE5BBC" w:rsidRPr="00E11D4D">
        <w:rPr>
          <w:rFonts w:ascii="Times New Roman" w:hAnsi="Times New Roman" w:cs="Times New Roman"/>
          <w:sz w:val="24"/>
          <w:szCs w:val="24"/>
        </w:rPr>
      </w:r>
      <w:r w:rsidR="00AE5BBC" w:rsidRPr="00E11D4D">
        <w:rPr>
          <w:rFonts w:ascii="Times New Roman" w:hAnsi="Times New Roman" w:cs="Times New Roman"/>
          <w:sz w:val="24"/>
          <w:szCs w:val="24"/>
        </w:rPr>
        <w:fldChar w:fldCharType="separate"/>
      </w:r>
      <w:r w:rsidR="00C40258" w:rsidRPr="00E11D4D">
        <w:rPr>
          <w:rFonts w:ascii="Times New Roman" w:eastAsiaTheme="minorHAnsi" w:hAnsi="Times New Roman" w:cs="Times New Roman"/>
          <w:noProof/>
          <w:sz w:val="24"/>
          <w:szCs w:val="24"/>
          <w:lang w:eastAsia="en-US"/>
        </w:rPr>
        <w:t>6. ábra</w:t>
      </w:r>
      <w:r w:rsidR="00AE5BBC" w:rsidRPr="00E11D4D">
        <w:rPr>
          <w:rFonts w:ascii="Times New Roman" w:hAnsi="Times New Roman" w:cs="Times New Roman"/>
          <w:sz w:val="24"/>
          <w:szCs w:val="24"/>
        </w:rPr>
        <w:fldChar w:fldCharType="end"/>
      </w:r>
      <w:r w:rsidR="00AE5BBC" w:rsidRPr="00E11D4D">
        <w:rPr>
          <w:rFonts w:ascii="Times New Roman" w:hAnsi="Times New Roman" w:cs="Times New Roman"/>
          <w:sz w:val="24"/>
          <w:szCs w:val="24"/>
        </w:rPr>
        <w:t>).</w:t>
      </w:r>
      <w:r w:rsidR="00C40258" w:rsidRPr="00E11D4D">
        <w:rPr>
          <w:rFonts w:ascii="Times New Roman" w:hAnsi="Times New Roman" w:cs="Times New Roman"/>
          <w:sz w:val="24"/>
          <w:szCs w:val="24"/>
        </w:rPr>
        <w:t xml:space="preserve"> A belföldi, fatérfogatra vetített árbevétel nem változott számottevően (</w:t>
      </w:r>
      <w:r w:rsidR="00C40258" w:rsidRPr="00E11D4D">
        <w:rPr>
          <w:rFonts w:ascii="Times New Roman" w:hAnsi="Times New Roman" w:cs="Times New Roman"/>
          <w:sz w:val="24"/>
          <w:szCs w:val="24"/>
        </w:rPr>
        <w:fldChar w:fldCharType="begin"/>
      </w:r>
      <w:r w:rsidR="00C40258" w:rsidRPr="00E11D4D">
        <w:rPr>
          <w:rFonts w:ascii="Times New Roman" w:hAnsi="Times New Roman" w:cs="Times New Roman"/>
          <w:sz w:val="24"/>
          <w:szCs w:val="24"/>
        </w:rPr>
        <w:instrText xml:space="preserve"> REF _Ref112335884 \h </w:instrText>
      </w:r>
      <w:r w:rsidR="00C40258" w:rsidRPr="00E11D4D">
        <w:rPr>
          <w:rFonts w:ascii="Times New Roman" w:hAnsi="Times New Roman" w:cs="Times New Roman"/>
          <w:sz w:val="24"/>
          <w:szCs w:val="24"/>
        </w:rPr>
      </w:r>
      <w:r w:rsidR="00E11D4D" w:rsidRPr="00E11D4D">
        <w:rPr>
          <w:rFonts w:ascii="Times New Roman" w:hAnsi="Times New Roman" w:cs="Times New Roman"/>
          <w:sz w:val="24"/>
          <w:szCs w:val="24"/>
        </w:rPr>
        <w:instrText xml:space="preserve"> \* MERGEFORMAT </w:instrText>
      </w:r>
      <w:r w:rsidR="00C40258" w:rsidRPr="00E11D4D">
        <w:rPr>
          <w:rFonts w:ascii="Times New Roman" w:hAnsi="Times New Roman" w:cs="Times New Roman"/>
          <w:sz w:val="24"/>
          <w:szCs w:val="24"/>
        </w:rPr>
        <w:fldChar w:fldCharType="separate"/>
      </w:r>
      <w:r w:rsidR="00C40258" w:rsidRPr="00E11D4D">
        <w:rPr>
          <w:rFonts w:ascii="Times New Roman" w:eastAsiaTheme="minorHAnsi" w:hAnsi="Times New Roman" w:cs="Times New Roman"/>
          <w:noProof/>
          <w:sz w:val="24"/>
          <w:szCs w:val="24"/>
          <w:lang w:eastAsia="en-US"/>
        </w:rPr>
        <w:t>7. ábra</w:t>
      </w:r>
      <w:r w:rsidR="00C40258" w:rsidRPr="00E11D4D">
        <w:rPr>
          <w:rFonts w:ascii="Times New Roman" w:hAnsi="Times New Roman" w:cs="Times New Roman"/>
          <w:sz w:val="24"/>
          <w:szCs w:val="24"/>
        </w:rPr>
        <w:fldChar w:fldCharType="end"/>
      </w:r>
      <w:r w:rsidR="00C40258" w:rsidRPr="00E11D4D">
        <w:rPr>
          <w:rFonts w:ascii="Times New Roman" w:hAnsi="Times New Roman" w:cs="Times New Roman"/>
          <w:sz w:val="24"/>
          <w:szCs w:val="24"/>
        </w:rPr>
        <w:t xml:space="preserve">). A külföldön értékesített </w:t>
      </w:r>
      <w:proofErr w:type="gramStart"/>
      <w:r w:rsidR="00C40258" w:rsidRPr="00E11D4D">
        <w:rPr>
          <w:rFonts w:ascii="Times New Roman" w:hAnsi="Times New Roman" w:cs="Times New Roman"/>
          <w:sz w:val="24"/>
          <w:szCs w:val="24"/>
        </w:rPr>
        <w:t>rönk</w:t>
      </w:r>
      <w:proofErr w:type="gramEnd"/>
      <w:r w:rsidR="00C40258" w:rsidRPr="00E11D4D">
        <w:rPr>
          <w:rFonts w:ascii="Times New Roman" w:hAnsi="Times New Roman" w:cs="Times New Roman"/>
          <w:sz w:val="24"/>
          <w:szCs w:val="24"/>
        </w:rPr>
        <w:t xml:space="preserve"> ill. egyéb fűrészipari alapanyag esetében a fatérfogatra vetített árbevétel jelentősen nőtt. A külföldi értékesítés viszonylag csekély mennyisége miatt azonban ezek a változások kevéssé indikatívak, egy-egy adatszolgáltató által benyújtott adat hatása az országos statisztikára nagy lehet.</w:t>
      </w:r>
    </w:p>
    <w:p w:rsidR="0024737D" w:rsidRDefault="0024737D" w:rsidP="005E24B7">
      <w:pPr>
        <w:jc w:val="both"/>
        <w:rPr>
          <w:rFonts w:ascii="Times New Roman" w:hAnsi="Times New Roman" w:cs="Times New Roman"/>
          <w:sz w:val="24"/>
          <w:szCs w:val="24"/>
        </w:rPr>
      </w:pPr>
    </w:p>
    <w:p w:rsidR="0024737D" w:rsidRPr="00E11D4D" w:rsidRDefault="0024737D" w:rsidP="005E24B7">
      <w:pPr>
        <w:jc w:val="both"/>
        <w:rPr>
          <w:rFonts w:ascii="Times New Roman" w:hAnsi="Times New Roman" w:cs="Times New Roman"/>
          <w:sz w:val="24"/>
          <w:szCs w:val="24"/>
        </w:rPr>
      </w:pPr>
    </w:p>
    <w:p w:rsidR="006B723A" w:rsidRDefault="006B723A">
      <w:pPr>
        <w:rPr>
          <w:rFonts w:ascii="Times New Roman" w:hAnsi="Times New Roman" w:cs="Times New Roman"/>
        </w:rPr>
      </w:pPr>
      <w:r>
        <w:rPr>
          <w:noProof/>
        </w:rPr>
        <w:drawing>
          <wp:inline distT="0" distB="0" distL="0" distR="0" wp14:anchorId="0A979748" wp14:editId="74936212">
            <wp:extent cx="5760720" cy="383088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830885"/>
                    </a:xfrm>
                    <a:prstGeom prst="rect">
                      <a:avLst/>
                    </a:prstGeom>
                  </pic:spPr>
                </pic:pic>
              </a:graphicData>
            </a:graphic>
          </wp:inline>
        </w:drawing>
      </w:r>
    </w:p>
    <w:bookmarkStart w:id="5" w:name="_Ref112334322"/>
    <w:p w:rsidR="006B723A" w:rsidRDefault="006B723A" w:rsidP="006B723A">
      <w:pPr>
        <w:pStyle w:val="Kpalrs"/>
        <w:jc w:val="center"/>
        <w:rPr>
          <w:rFonts w:ascii="Times New Roman" w:eastAsiaTheme="minorHAnsi" w:hAnsi="Times New Roman" w:cs="Times New Roman"/>
          <w:b w:val="0"/>
          <w:noProof/>
          <w:color w:val="auto"/>
          <w:lang w:eastAsia="en-US"/>
        </w:rPr>
      </w:pPr>
      <w:r w:rsidRPr="006B723A">
        <w:rPr>
          <w:rFonts w:ascii="Times New Roman" w:eastAsiaTheme="minorHAnsi" w:hAnsi="Times New Roman" w:cs="Times New Roman"/>
          <w:noProof/>
          <w:color w:val="auto"/>
          <w:lang w:eastAsia="en-US"/>
        </w:rPr>
        <w:fldChar w:fldCharType="begin"/>
      </w:r>
      <w:r w:rsidRPr="006B723A">
        <w:rPr>
          <w:rFonts w:ascii="Times New Roman" w:eastAsiaTheme="minorHAnsi" w:hAnsi="Times New Roman" w:cs="Times New Roman"/>
          <w:noProof/>
          <w:color w:val="auto"/>
          <w:lang w:eastAsia="en-US"/>
        </w:rPr>
        <w:instrText xml:space="preserve"> SEQ ábra \* ARABIC </w:instrText>
      </w:r>
      <w:r w:rsidRPr="006B723A">
        <w:rPr>
          <w:rFonts w:ascii="Times New Roman" w:eastAsiaTheme="minorHAnsi" w:hAnsi="Times New Roman" w:cs="Times New Roman"/>
          <w:noProof/>
          <w:color w:val="auto"/>
          <w:lang w:eastAsia="en-US"/>
        </w:rPr>
        <w:fldChar w:fldCharType="separate"/>
      </w:r>
      <w:r w:rsidR="00C40258">
        <w:rPr>
          <w:rFonts w:ascii="Times New Roman" w:eastAsiaTheme="minorHAnsi" w:hAnsi="Times New Roman" w:cs="Times New Roman"/>
          <w:noProof/>
          <w:color w:val="auto"/>
          <w:lang w:eastAsia="en-US"/>
        </w:rPr>
        <w:t>5</w:t>
      </w:r>
      <w:r w:rsidRPr="006B723A">
        <w:rPr>
          <w:rFonts w:ascii="Times New Roman" w:eastAsiaTheme="minorHAnsi" w:hAnsi="Times New Roman" w:cs="Times New Roman"/>
          <w:noProof/>
          <w:color w:val="auto"/>
          <w:lang w:eastAsia="en-US"/>
        </w:rPr>
        <w:fldChar w:fldCharType="end"/>
      </w:r>
      <w:r w:rsidRPr="006B723A">
        <w:rPr>
          <w:rFonts w:ascii="Times New Roman" w:eastAsiaTheme="minorHAnsi" w:hAnsi="Times New Roman" w:cs="Times New Roman"/>
          <w:noProof/>
          <w:color w:val="auto"/>
          <w:lang w:eastAsia="en-US"/>
        </w:rPr>
        <w:t>. ábra</w:t>
      </w:r>
      <w:bookmarkEnd w:id="5"/>
      <w:r w:rsidRPr="006B723A">
        <w:rPr>
          <w:rFonts w:ascii="Times New Roman" w:eastAsiaTheme="minorHAnsi" w:hAnsi="Times New Roman" w:cs="Times New Roman"/>
          <w:noProof/>
          <w:color w:val="auto"/>
          <w:lang w:eastAsia="en-US"/>
        </w:rPr>
        <w:t xml:space="preserve"> </w:t>
      </w:r>
      <w:r w:rsidRPr="006B723A">
        <w:rPr>
          <w:rFonts w:ascii="Times New Roman" w:eastAsiaTheme="minorHAnsi" w:hAnsi="Times New Roman" w:cs="Times New Roman"/>
          <w:b w:val="0"/>
          <w:noProof/>
          <w:color w:val="auto"/>
          <w:lang w:eastAsia="en-US"/>
        </w:rPr>
        <w:t>Bel- és külföldön értékesített erdei fatermékek mennyisége 2020-ban és 2021-ben.</w:t>
      </w:r>
    </w:p>
    <w:p w:rsidR="00ED3D76" w:rsidRDefault="00ED3D76" w:rsidP="00ED3D76">
      <w:pPr>
        <w:rPr>
          <w:lang w:eastAsia="en-US"/>
        </w:rPr>
      </w:pPr>
      <w:r>
        <w:rPr>
          <w:noProof/>
        </w:rPr>
        <w:lastRenderedPageBreak/>
        <w:drawing>
          <wp:inline distT="0" distB="0" distL="0" distR="0" wp14:anchorId="5526403A" wp14:editId="377ADC4B">
            <wp:extent cx="5760720" cy="3830885"/>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830885"/>
                    </a:xfrm>
                    <a:prstGeom prst="rect">
                      <a:avLst/>
                    </a:prstGeom>
                  </pic:spPr>
                </pic:pic>
              </a:graphicData>
            </a:graphic>
          </wp:inline>
        </w:drawing>
      </w:r>
    </w:p>
    <w:bookmarkStart w:id="6" w:name="_Ref112335084"/>
    <w:p w:rsidR="00AE5BBC" w:rsidRDefault="00AE5BBC" w:rsidP="00AE5BBC">
      <w:pPr>
        <w:pStyle w:val="Kpalrs"/>
        <w:jc w:val="center"/>
        <w:rPr>
          <w:rFonts w:ascii="Times New Roman" w:eastAsiaTheme="minorHAnsi" w:hAnsi="Times New Roman" w:cs="Times New Roman"/>
          <w:b w:val="0"/>
          <w:noProof/>
          <w:color w:val="auto"/>
          <w:lang w:eastAsia="en-US"/>
        </w:rPr>
      </w:pPr>
      <w:r w:rsidRPr="006B723A">
        <w:rPr>
          <w:rFonts w:ascii="Times New Roman" w:eastAsiaTheme="minorHAnsi" w:hAnsi="Times New Roman" w:cs="Times New Roman"/>
          <w:noProof/>
          <w:color w:val="auto"/>
          <w:lang w:eastAsia="en-US"/>
        </w:rPr>
        <w:fldChar w:fldCharType="begin"/>
      </w:r>
      <w:r w:rsidRPr="006B723A">
        <w:rPr>
          <w:rFonts w:ascii="Times New Roman" w:eastAsiaTheme="minorHAnsi" w:hAnsi="Times New Roman" w:cs="Times New Roman"/>
          <w:noProof/>
          <w:color w:val="auto"/>
          <w:lang w:eastAsia="en-US"/>
        </w:rPr>
        <w:instrText xml:space="preserve"> SEQ ábra \* ARABIC </w:instrText>
      </w:r>
      <w:r w:rsidRPr="006B723A">
        <w:rPr>
          <w:rFonts w:ascii="Times New Roman" w:eastAsiaTheme="minorHAnsi" w:hAnsi="Times New Roman" w:cs="Times New Roman"/>
          <w:noProof/>
          <w:color w:val="auto"/>
          <w:lang w:eastAsia="en-US"/>
        </w:rPr>
        <w:fldChar w:fldCharType="separate"/>
      </w:r>
      <w:r w:rsidR="00C40258">
        <w:rPr>
          <w:rFonts w:ascii="Times New Roman" w:eastAsiaTheme="minorHAnsi" w:hAnsi="Times New Roman" w:cs="Times New Roman"/>
          <w:noProof/>
          <w:color w:val="auto"/>
          <w:lang w:eastAsia="en-US"/>
        </w:rPr>
        <w:t>6</w:t>
      </w:r>
      <w:r w:rsidRPr="006B723A">
        <w:rPr>
          <w:rFonts w:ascii="Times New Roman" w:eastAsiaTheme="minorHAnsi" w:hAnsi="Times New Roman" w:cs="Times New Roman"/>
          <w:noProof/>
          <w:color w:val="auto"/>
          <w:lang w:eastAsia="en-US"/>
        </w:rPr>
        <w:fldChar w:fldCharType="end"/>
      </w:r>
      <w:r w:rsidRPr="006B723A">
        <w:rPr>
          <w:rFonts w:ascii="Times New Roman" w:eastAsiaTheme="minorHAnsi" w:hAnsi="Times New Roman" w:cs="Times New Roman"/>
          <w:noProof/>
          <w:color w:val="auto"/>
          <w:lang w:eastAsia="en-US"/>
        </w:rPr>
        <w:t>. ábra</w:t>
      </w:r>
      <w:bookmarkEnd w:id="6"/>
      <w:r w:rsidRPr="006B723A">
        <w:rPr>
          <w:rFonts w:ascii="Times New Roman" w:eastAsiaTheme="minorHAnsi" w:hAnsi="Times New Roman" w:cs="Times New Roman"/>
          <w:noProof/>
          <w:color w:val="auto"/>
          <w:lang w:eastAsia="en-US"/>
        </w:rPr>
        <w:t xml:space="preserve"> </w:t>
      </w:r>
      <w:r w:rsidRPr="006B723A">
        <w:rPr>
          <w:rFonts w:ascii="Times New Roman" w:eastAsiaTheme="minorHAnsi" w:hAnsi="Times New Roman" w:cs="Times New Roman"/>
          <w:b w:val="0"/>
          <w:noProof/>
          <w:color w:val="auto"/>
          <w:lang w:eastAsia="en-US"/>
        </w:rPr>
        <w:t>Bel- és külföld</w:t>
      </w:r>
      <w:r>
        <w:rPr>
          <w:rFonts w:ascii="Times New Roman" w:eastAsiaTheme="minorHAnsi" w:hAnsi="Times New Roman" w:cs="Times New Roman"/>
          <w:b w:val="0"/>
          <w:noProof/>
          <w:color w:val="auto"/>
          <w:lang w:eastAsia="en-US"/>
        </w:rPr>
        <w:t>i</w:t>
      </w:r>
      <w:r w:rsidRPr="006B723A">
        <w:rPr>
          <w:rFonts w:ascii="Times New Roman" w:eastAsiaTheme="minorHAnsi" w:hAnsi="Times New Roman" w:cs="Times New Roman"/>
          <w:b w:val="0"/>
          <w:noProof/>
          <w:color w:val="auto"/>
          <w:lang w:eastAsia="en-US"/>
        </w:rPr>
        <w:t xml:space="preserve"> </w:t>
      </w:r>
      <w:r>
        <w:rPr>
          <w:rFonts w:ascii="Times New Roman" w:eastAsiaTheme="minorHAnsi" w:hAnsi="Times New Roman" w:cs="Times New Roman"/>
          <w:b w:val="0"/>
          <w:noProof/>
          <w:color w:val="auto"/>
          <w:lang w:eastAsia="en-US"/>
        </w:rPr>
        <w:t>értékesítésből származó árbevétel</w:t>
      </w:r>
      <w:r w:rsidRPr="006B723A">
        <w:rPr>
          <w:rFonts w:ascii="Times New Roman" w:eastAsiaTheme="minorHAnsi" w:hAnsi="Times New Roman" w:cs="Times New Roman"/>
          <w:b w:val="0"/>
          <w:noProof/>
          <w:color w:val="auto"/>
          <w:lang w:eastAsia="en-US"/>
        </w:rPr>
        <w:t xml:space="preserve"> 2020-ban és 2021-ben.</w:t>
      </w:r>
    </w:p>
    <w:p w:rsidR="00AE5BBC" w:rsidRDefault="00AE5BBC" w:rsidP="00ED3D76">
      <w:pPr>
        <w:rPr>
          <w:lang w:eastAsia="en-US"/>
        </w:rPr>
      </w:pPr>
    </w:p>
    <w:p w:rsidR="00C40258" w:rsidRDefault="00C40258" w:rsidP="00ED3D76">
      <w:pPr>
        <w:rPr>
          <w:lang w:eastAsia="en-US"/>
        </w:rPr>
      </w:pPr>
      <w:r>
        <w:rPr>
          <w:noProof/>
        </w:rPr>
        <w:drawing>
          <wp:inline distT="0" distB="0" distL="0" distR="0" wp14:anchorId="7F62004F" wp14:editId="6DB2D972">
            <wp:extent cx="5760720" cy="3830885"/>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830885"/>
                    </a:xfrm>
                    <a:prstGeom prst="rect">
                      <a:avLst/>
                    </a:prstGeom>
                  </pic:spPr>
                </pic:pic>
              </a:graphicData>
            </a:graphic>
          </wp:inline>
        </w:drawing>
      </w:r>
    </w:p>
    <w:bookmarkStart w:id="7" w:name="_Ref112335884"/>
    <w:p w:rsidR="00C40258" w:rsidRDefault="00C40258" w:rsidP="00C40258">
      <w:pPr>
        <w:pStyle w:val="Kpalrs"/>
        <w:jc w:val="center"/>
        <w:rPr>
          <w:rFonts w:ascii="Times New Roman" w:eastAsiaTheme="minorHAnsi" w:hAnsi="Times New Roman" w:cs="Times New Roman"/>
          <w:b w:val="0"/>
          <w:noProof/>
          <w:color w:val="auto"/>
          <w:lang w:eastAsia="en-US"/>
        </w:rPr>
      </w:pPr>
      <w:r w:rsidRPr="006B723A">
        <w:rPr>
          <w:rFonts w:ascii="Times New Roman" w:eastAsiaTheme="minorHAnsi" w:hAnsi="Times New Roman" w:cs="Times New Roman"/>
          <w:noProof/>
          <w:color w:val="auto"/>
          <w:lang w:eastAsia="en-US"/>
        </w:rPr>
        <w:fldChar w:fldCharType="begin"/>
      </w:r>
      <w:r w:rsidRPr="006B723A">
        <w:rPr>
          <w:rFonts w:ascii="Times New Roman" w:eastAsiaTheme="minorHAnsi" w:hAnsi="Times New Roman" w:cs="Times New Roman"/>
          <w:noProof/>
          <w:color w:val="auto"/>
          <w:lang w:eastAsia="en-US"/>
        </w:rPr>
        <w:instrText xml:space="preserve"> SEQ ábra \* ARABIC </w:instrText>
      </w:r>
      <w:r w:rsidRPr="006B723A">
        <w:rPr>
          <w:rFonts w:ascii="Times New Roman" w:eastAsiaTheme="minorHAnsi" w:hAnsi="Times New Roman" w:cs="Times New Roman"/>
          <w:noProof/>
          <w:color w:val="auto"/>
          <w:lang w:eastAsia="en-US"/>
        </w:rPr>
        <w:fldChar w:fldCharType="separate"/>
      </w:r>
      <w:r>
        <w:rPr>
          <w:rFonts w:ascii="Times New Roman" w:eastAsiaTheme="minorHAnsi" w:hAnsi="Times New Roman" w:cs="Times New Roman"/>
          <w:noProof/>
          <w:color w:val="auto"/>
          <w:lang w:eastAsia="en-US"/>
        </w:rPr>
        <w:t>7</w:t>
      </w:r>
      <w:r w:rsidRPr="006B723A">
        <w:rPr>
          <w:rFonts w:ascii="Times New Roman" w:eastAsiaTheme="minorHAnsi" w:hAnsi="Times New Roman" w:cs="Times New Roman"/>
          <w:noProof/>
          <w:color w:val="auto"/>
          <w:lang w:eastAsia="en-US"/>
        </w:rPr>
        <w:fldChar w:fldCharType="end"/>
      </w:r>
      <w:r w:rsidRPr="006B723A">
        <w:rPr>
          <w:rFonts w:ascii="Times New Roman" w:eastAsiaTheme="minorHAnsi" w:hAnsi="Times New Roman" w:cs="Times New Roman"/>
          <w:noProof/>
          <w:color w:val="auto"/>
          <w:lang w:eastAsia="en-US"/>
        </w:rPr>
        <w:t>. ábra</w:t>
      </w:r>
      <w:bookmarkEnd w:id="7"/>
      <w:r w:rsidRPr="006B723A">
        <w:rPr>
          <w:rFonts w:ascii="Times New Roman" w:eastAsiaTheme="minorHAnsi" w:hAnsi="Times New Roman" w:cs="Times New Roman"/>
          <w:noProof/>
          <w:color w:val="auto"/>
          <w:lang w:eastAsia="en-US"/>
        </w:rPr>
        <w:t xml:space="preserve"> </w:t>
      </w:r>
      <w:r w:rsidRPr="006B723A">
        <w:rPr>
          <w:rFonts w:ascii="Times New Roman" w:eastAsiaTheme="minorHAnsi" w:hAnsi="Times New Roman" w:cs="Times New Roman"/>
          <w:b w:val="0"/>
          <w:noProof/>
          <w:color w:val="auto"/>
          <w:lang w:eastAsia="en-US"/>
        </w:rPr>
        <w:t>Bel- és külföld</w:t>
      </w:r>
      <w:r>
        <w:rPr>
          <w:rFonts w:ascii="Times New Roman" w:eastAsiaTheme="minorHAnsi" w:hAnsi="Times New Roman" w:cs="Times New Roman"/>
          <w:b w:val="0"/>
          <w:noProof/>
          <w:color w:val="auto"/>
          <w:lang w:eastAsia="en-US"/>
        </w:rPr>
        <w:t>i</w:t>
      </w:r>
      <w:r w:rsidRPr="006B723A">
        <w:rPr>
          <w:rFonts w:ascii="Times New Roman" w:eastAsiaTheme="minorHAnsi" w:hAnsi="Times New Roman" w:cs="Times New Roman"/>
          <w:b w:val="0"/>
          <w:noProof/>
          <w:color w:val="auto"/>
          <w:lang w:eastAsia="en-US"/>
        </w:rPr>
        <w:t xml:space="preserve"> </w:t>
      </w:r>
      <w:r>
        <w:rPr>
          <w:rFonts w:ascii="Times New Roman" w:eastAsiaTheme="minorHAnsi" w:hAnsi="Times New Roman" w:cs="Times New Roman"/>
          <w:b w:val="0"/>
          <w:noProof/>
          <w:color w:val="auto"/>
          <w:lang w:eastAsia="en-US"/>
        </w:rPr>
        <w:t>értékesítésből származó, fatérfogatra vetített árbevétel</w:t>
      </w:r>
      <w:r w:rsidRPr="006B723A">
        <w:rPr>
          <w:rFonts w:ascii="Times New Roman" w:eastAsiaTheme="minorHAnsi" w:hAnsi="Times New Roman" w:cs="Times New Roman"/>
          <w:b w:val="0"/>
          <w:noProof/>
          <w:color w:val="auto"/>
          <w:lang w:eastAsia="en-US"/>
        </w:rPr>
        <w:t xml:space="preserve"> 2020-ban és 2021-ben.</w:t>
      </w:r>
    </w:p>
    <w:sectPr w:rsidR="00C40258" w:rsidSect="002828F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77" w:rsidRDefault="00C81F77" w:rsidP="0066560A">
      <w:pPr>
        <w:spacing w:after="0" w:line="240" w:lineRule="auto"/>
      </w:pPr>
      <w:r>
        <w:separator/>
      </w:r>
    </w:p>
  </w:endnote>
  <w:endnote w:type="continuationSeparator" w:id="0">
    <w:p w:rsidR="00C81F77" w:rsidRDefault="00C81F77" w:rsidP="0066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524790"/>
      <w:docPartObj>
        <w:docPartGallery w:val="Page Numbers (Bottom of Page)"/>
        <w:docPartUnique/>
      </w:docPartObj>
    </w:sdtPr>
    <w:sdtEndPr/>
    <w:sdtContent>
      <w:p w:rsidR="005005E0" w:rsidRPr="0066560A" w:rsidRDefault="003A4A3C">
        <w:pPr>
          <w:pStyle w:val="llb"/>
          <w:jc w:val="center"/>
          <w:rPr>
            <w:rFonts w:ascii="Times New Roman" w:hAnsi="Times New Roman" w:cs="Times New Roman"/>
          </w:rPr>
        </w:pPr>
        <w:r w:rsidRPr="0066560A">
          <w:rPr>
            <w:rFonts w:ascii="Times New Roman" w:hAnsi="Times New Roman" w:cs="Times New Roman"/>
          </w:rPr>
          <w:fldChar w:fldCharType="begin"/>
        </w:r>
        <w:r w:rsidR="005005E0" w:rsidRPr="0066560A">
          <w:rPr>
            <w:rFonts w:ascii="Times New Roman" w:hAnsi="Times New Roman" w:cs="Times New Roman"/>
          </w:rPr>
          <w:instrText xml:space="preserve"> PAGE   \* MERGEFORMAT </w:instrText>
        </w:r>
        <w:r w:rsidRPr="0066560A">
          <w:rPr>
            <w:rFonts w:ascii="Times New Roman" w:hAnsi="Times New Roman" w:cs="Times New Roman"/>
          </w:rPr>
          <w:fldChar w:fldCharType="separate"/>
        </w:r>
        <w:r w:rsidR="0024737D">
          <w:rPr>
            <w:rFonts w:ascii="Times New Roman" w:hAnsi="Times New Roman" w:cs="Times New Roman"/>
            <w:noProof/>
          </w:rPr>
          <w:t>1</w:t>
        </w:r>
        <w:r w:rsidRPr="0066560A">
          <w:rPr>
            <w:rFonts w:ascii="Times New Roman" w:hAnsi="Times New Roman" w:cs="Times New Roman"/>
          </w:rPr>
          <w:fldChar w:fldCharType="end"/>
        </w:r>
      </w:p>
    </w:sdtContent>
  </w:sdt>
  <w:p w:rsidR="005005E0" w:rsidRPr="0066560A" w:rsidRDefault="005005E0">
    <w:pPr>
      <w:pStyle w:val="ll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77" w:rsidRDefault="00C81F77" w:rsidP="0066560A">
      <w:pPr>
        <w:spacing w:after="0" w:line="240" w:lineRule="auto"/>
      </w:pPr>
      <w:r>
        <w:separator/>
      </w:r>
    </w:p>
  </w:footnote>
  <w:footnote w:type="continuationSeparator" w:id="0">
    <w:p w:rsidR="00C81F77" w:rsidRDefault="00C81F77" w:rsidP="0066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294"/>
    <w:multiLevelType w:val="hybridMultilevel"/>
    <w:tmpl w:val="D412633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CF"/>
    <w:rsid w:val="000935DB"/>
    <w:rsid w:val="000C5E0C"/>
    <w:rsid w:val="000E7C6E"/>
    <w:rsid w:val="0014258D"/>
    <w:rsid w:val="00164477"/>
    <w:rsid w:val="001C2089"/>
    <w:rsid w:val="001F39E9"/>
    <w:rsid w:val="0024737D"/>
    <w:rsid w:val="0028001F"/>
    <w:rsid w:val="002828F3"/>
    <w:rsid w:val="002A7E35"/>
    <w:rsid w:val="002C7E4D"/>
    <w:rsid w:val="002D2766"/>
    <w:rsid w:val="00301216"/>
    <w:rsid w:val="00323A35"/>
    <w:rsid w:val="00366D93"/>
    <w:rsid w:val="00372093"/>
    <w:rsid w:val="00372AB0"/>
    <w:rsid w:val="00376ADA"/>
    <w:rsid w:val="003A4A3C"/>
    <w:rsid w:val="003B0869"/>
    <w:rsid w:val="003E05CD"/>
    <w:rsid w:val="004048F0"/>
    <w:rsid w:val="004642E0"/>
    <w:rsid w:val="004F0B30"/>
    <w:rsid w:val="005005E0"/>
    <w:rsid w:val="005140F8"/>
    <w:rsid w:val="00537A15"/>
    <w:rsid w:val="005417F9"/>
    <w:rsid w:val="0054653C"/>
    <w:rsid w:val="005E24B7"/>
    <w:rsid w:val="00606089"/>
    <w:rsid w:val="0061469F"/>
    <w:rsid w:val="00653A31"/>
    <w:rsid w:val="0066269E"/>
    <w:rsid w:val="0066560A"/>
    <w:rsid w:val="00677ECF"/>
    <w:rsid w:val="00694B61"/>
    <w:rsid w:val="006B723A"/>
    <w:rsid w:val="00861D55"/>
    <w:rsid w:val="00891FAB"/>
    <w:rsid w:val="009672FB"/>
    <w:rsid w:val="00990031"/>
    <w:rsid w:val="00A946C8"/>
    <w:rsid w:val="00AE5BBC"/>
    <w:rsid w:val="00B53EC1"/>
    <w:rsid w:val="00B611D9"/>
    <w:rsid w:val="00B61DF5"/>
    <w:rsid w:val="00B72A2B"/>
    <w:rsid w:val="00B73A00"/>
    <w:rsid w:val="00B7795D"/>
    <w:rsid w:val="00BA1B8D"/>
    <w:rsid w:val="00C04F21"/>
    <w:rsid w:val="00C3091F"/>
    <w:rsid w:val="00C40258"/>
    <w:rsid w:val="00C81F77"/>
    <w:rsid w:val="00D27492"/>
    <w:rsid w:val="00D97ACD"/>
    <w:rsid w:val="00DD018F"/>
    <w:rsid w:val="00DE4E44"/>
    <w:rsid w:val="00DE58C3"/>
    <w:rsid w:val="00E0258D"/>
    <w:rsid w:val="00E11D4D"/>
    <w:rsid w:val="00E47F61"/>
    <w:rsid w:val="00EB646D"/>
    <w:rsid w:val="00EC6A0B"/>
    <w:rsid w:val="00ED3D76"/>
    <w:rsid w:val="00F32607"/>
    <w:rsid w:val="00F3436D"/>
    <w:rsid w:val="00F5282D"/>
    <w:rsid w:val="00F564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7ECF"/>
    <w:pPr>
      <w:ind w:left="720"/>
      <w:contextualSpacing/>
    </w:pPr>
  </w:style>
  <w:style w:type="character" w:styleId="Hiperhivatkozs">
    <w:name w:val="Hyperlink"/>
    <w:basedOn w:val="Bekezdsalapbettpusa"/>
    <w:uiPriority w:val="99"/>
    <w:unhideWhenUsed/>
    <w:rsid w:val="00B611D9"/>
    <w:rPr>
      <w:color w:val="0000FF" w:themeColor="hyperlink"/>
      <w:u w:val="single"/>
    </w:rPr>
  </w:style>
  <w:style w:type="paragraph" w:styleId="lfej">
    <w:name w:val="header"/>
    <w:basedOn w:val="Norml"/>
    <w:link w:val="lfejChar"/>
    <w:uiPriority w:val="99"/>
    <w:semiHidden/>
    <w:unhideWhenUsed/>
    <w:rsid w:val="0066560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6560A"/>
  </w:style>
  <w:style w:type="paragraph" w:styleId="llb">
    <w:name w:val="footer"/>
    <w:basedOn w:val="Norml"/>
    <w:link w:val="llbChar"/>
    <w:uiPriority w:val="99"/>
    <w:unhideWhenUsed/>
    <w:rsid w:val="0066560A"/>
    <w:pPr>
      <w:tabs>
        <w:tab w:val="center" w:pos="4536"/>
        <w:tab w:val="right" w:pos="9072"/>
      </w:tabs>
      <w:spacing w:after="0" w:line="240" w:lineRule="auto"/>
    </w:pPr>
  </w:style>
  <w:style w:type="character" w:customStyle="1" w:styleId="llbChar">
    <w:name w:val="Élőláb Char"/>
    <w:basedOn w:val="Bekezdsalapbettpusa"/>
    <w:link w:val="llb"/>
    <w:uiPriority w:val="99"/>
    <w:rsid w:val="0066560A"/>
  </w:style>
  <w:style w:type="paragraph" w:styleId="Buborkszveg">
    <w:name w:val="Balloon Text"/>
    <w:basedOn w:val="Norml"/>
    <w:link w:val="BuborkszvegChar"/>
    <w:uiPriority w:val="99"/>
    <w:semiHidden/>
    <w:unhideWhenUsed/>
    <w:rsid w:val="00B53E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3EC1"/>
    <w:rPr>
      <w:rFonts w:ascii="Tahoma" w:hAnsi="Tahoma" w:cs="Tahoma"/>
      <w:sz w:val="16"/>
      <w:szCs w:val="16"/>
    </w:rPr>
  </w:style>
  <w:style w:type="paragraph" w:styleId="Kpalrs">
    <w:name w:val="caption"/>
    <w:basedOn w:val="Norml"/>
    <w:next w:val="Norml"/>
    <w:uiPriority w:val="35"/>
    <w:unhideWhenUsed/>
    <w:qFormat/>
    <w:rsid w:val="00DE4E44"/>
    <w:pPr>
      <w:spacing w:line="240" w:lineRule="auto"/>
    </w:pPr>
    <w:rPr>
      <w:b/>
      <w:bCs/>
      <w:color w:val="4F81BD" w:themeColor="accent1"/>
      <w:sz w:val="18"/>
      <w:szCs w:val="18"/>
    </w:rPr>
  </w:style>
  <w:style w:type="character" w:styleId="Mrltotthiperhivatkozs">
    <w:name w:val="FollowedHyperlink"/>
    <w:basedOn w:val="Bekezdsalapbettpusa"/>
    <w:uiPriority w:val="99"/>
    <w:semiHidden/>
    <w:unhideWhenUsed/>
    <w:rsid w:val="00E11D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7ECF"/>
    <w:pPr>
      <w:ind w:left="720"/>
      <w:contextualSpacing/>
    </w:pPr>
  </w:style>
  <w:style w:type="character" w:styleId="Hiperhivatkozs">
    <w:name w:val="Hyperlink"/>
    <w:basedOn w:val="Bekezdsalapbettpusa"/>
    <w:uiPriority w:val="99"/>
    <w:unhideWhenUsed/>
    <w:rsid w:val="00B611D9"/>
    <w:rPr>
      <w:color w:val="0000FF" w:themeColor="hyperlink"/>
      <w:u w:val="single"/>
    </w:rPr>
  </w:style>
  <w:style w:type="paragraph" w:styleId="lfej">
    <w:name w:val="header"/>
    <w:basedOn w:val="Norml"/>
    <w:link w:val="lfejChar"/>
    <w:uiPriority w:val="99"/>
    <w:semiHidden/>
    <w:unhideWhenUsed/>
    <w:rsid w:val="0066560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6560A"/>
  </w:style>
  <w:style w:type="paragraph" w:styleId="llb">
    <w:name w:val="footer"/>
    <w:basedOn w:val="Norml"/>
    <w:link w:val="llbChar"/>
    <w:uiPriority w:val="99"/>
    <w:unhideWhenUsed/>
    <w:rsid w:val="0066560A"/>
    <w:pPr>
      <w:tabs>
        <w:tab w:val="center" w:pos="4536"/>
        <w:tab w:val="right" w:pos="9072"/>
      </w:tabs>
      <w:spacing w:after="0" w:line="240" w:lineRule="auto"/>
    </w:pPr>
  </w:style>
  <w:style w:type="character" w:customStyle="1" w:styleId="llbChar">
    <w:name w:val="Élőláb Char"/>
    <w:basedOn w:val="Bekezdsalapbettpusa"/>
    <w:link w:val="llb"/>
    <w:uiPriority w:val="99"/>
    <w:rsid w:val="0066560A"/>
  </w:style>
  <w:style w:type="paragraph" w:styleId="Buborkszveg">
    <w:name w:val="Balloon Text"/>
    <w:basedOn w:val="Norml"/>
    <w:link w:val="BuborkszvegChar"/>
    <w:uiPriority w:val="99"/>
    <w:semiHidden/>
    <w:unhideWhenUsed/>
    <w:rsid w:val="00B53E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3EC1"/>
    <w:rPr>
      <w:rFonts w:ascii="Tahoma" w:hAnsi="Tahoma" w:cs="Tahoma"/>
      <w:sz w:val="16"/>
      <w:szCs w:val="16"/>
    </w:rPr>
  </w:style>
  <w:style w:type="paragraph" w:styleId="Kpalrs">
    <w:name w:val="caption"/>
    <w:basedOn w:val="Norml"/>
    <w:next w:val="Norml"/>
    <w:uiPriority w:val="35"/>
    <w:unhideWhenUsed/>
    <w:qFormat/>
    <w:rsid w:val="00DE4E44"/>
    <w:pPr>
      <w:spacing w:line="240" w:lineRule="auto"/>
    </w:pPr>
    <w:rPr>
      <w:b/>
      <w:bCs/>
      <w:color w:val="4F81BD" w:themeColor="accent1"/>
      <w:sz w:val="18"/>
      <w:szCs w:val="18"/>
    </w:rPr>
  </w:style>
  <w:style w:type="character" w:styleId="Mrltotthiperhivatkozs">
    <w:name w:val="FollowedHyperlink"/>
    <w:basedOn w:val="Bekezdsalapbettpusa"/>
    <w:uiPriority w:val="99"/>
    <w:semiHidden/>
    <w:unhideWhenUsed/>
    <w:rsid w:val="00E11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agrarstatisztika.kormany.hu/erdogazdalkoda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grarstatisztika.kormany.hu/erdogazdalkodas3" TargetMode="Externa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434E8-3D68-4A86-87B0-C3BAAE4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545</Words>
  <Characters>3763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NÉBIH</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Illár Máté</dc:creator>
  <cp:lastModifiedBy>Dr. Tobisch Tamás</cp:lastModifiedBy>
  <cp:revision>17</cp:revision>
  <dcterms:created xsi:type="dcterms:W3CDTF">2022-08-24T14:11:00Z</dcterms:created>
  <dcterms:modified xsi:type="dcterms:W3CDTF">2022-09-02T13:49:00Z</dcterms:modified>
</cp:coreProperties>
</file>