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7A" w:rsidRDefault="00032BF3">
      <w:pPr>
        <w:pStyle w:val="Cm"/>
      </w:pPr>
      <w:r>
        <w:t>Statisztikai közlemény</w:t>
      </w:r>
    </w:p>
    <w:p w:rsidR="0071507A" w:rsidRDefault="00032BF3">
      <w:pPr>
        <w:pStyle w:val="Alcm"/>
      </w:pPr>
      <w:r>
        <w:t xml:space="preserve">a </w:t>
      </w:r>
      <w:r>
        <w:rPr>
          <w:iCs/>
        </w:rPr>
        <w:t>„Nettó fakitermelés”</w:t>
      </w:r>
      <w:r>
        <w:t xml:space="preserve"> c. 2022. évi adatfelvételről</w:t>
      </w:r>
    </w:p>
    <w:p w:rsidR="0071507A" w:rsidRDefault="00032BF3">
      <w:pPr>
        <w:pStyle w:val="Dtum"/>
      </w:pPr>
      <w:r>
        <w:t>Nyomtatás ideje: 2023 október 17.</w:t>
      </w:r>
    </w:p>
    <w:p w:rsidR="0071507A" w:rsidRDefault="00032BF3">
      <w:pPr>
        <w:pStyle w:val="Cmsor1"/>
      </w:pPr>
      <w:bookmarkStart w:id="0" w:name="az-adatgyűjtés-jellemzői"/>
      <w:r>
        <w:t>1. Az adatgyűjtés jellemzői</w:t>
      </w:r>
    </w:p>
    <w:p w:rsidR="0071507A" w:rsidRDefault="00032BF3">
      <w:pPr>
        <w:pStyle w:val="Cmsor2"/>
      </w:pPr>
      <w:bookmarkStart w:id="1" w:name="mintavételezés"/>
      <w:r>
        <w:t>1.1. Mintavételezés</w:t>
      </w:r>
    </w:p>
    <w:p w:rsidR="0071507A" w:rsidRDefault="00032BF3">
      <w:pPr>
        <w:pStyle w:val="FirstParagraph"/>
      </w:pPr>
      <w:r>
        <w:t xml:space="preserve">A Nettó fakitermelés c. adatgyűjtés célja a hazánk erdeiből kitermelt nettó fatérfogat fafaj- és választékösszetételének becslése. Az adatgyűjtés kombinált típusú, ami azt jelenti, hogy az állami szektorra </w:t>
      </w:r>
      <w:r>
        <w:rPr>
          <w:rStyle w:val="Lbjegyzet-hivatkozs"/>
        </w:rPr>
        <w:footnoteReference w:id="1"/>
      </w:r>
      <w:r>
        <w:t xml:space="preserve"> nézve teljes körű, a magán erdőgazdálkodók (ideé</w:t>
      </w:r>
      <w:r>
        <w:t>rtve a közösségi szektor gazdálkodóit is) esetében pedig mintavételezésen alapuló.</w:t>
      </w:r>
    </w:p>
    <w:p w:rsidR="0071507A" w:rsidRDefault="00032BF3">
      <w:pPr>
        <w:pStyle w:val="Szvegtrzs"/>
      </w:pPr>
      <w:r>
        <w:t xml:space="preserve">A mintába kerülő erdőgazdálkodókat véletlenszerűen választjuk ki, ami a reprezentativitás alapvető feltétele. A véletlenszerű kiválasztás a 2017-2019 időszakban a tervezett </w:t>
      </w:r>
      <w:r>
        <w:t>fakitermelés mértéke szerint súlyozottan történt. Ez tehát azt jelentette, hogy a tervezetten több fakitermelést végző erdőgazdálkodók nagyobb valószínűséggel kerültek a mintába. Ez a mintavétel alkalmas az országos átlagos választékarány becslésére, ami a</w:t>
      </w:r>
      <w:r>
        <w:t>zt mutatja meg, hogy mennyi az egyes erdei fatermékek (rönkféleségek, tűzifa stb.) aránya az összes kitermelt nettó fatérfogathoz képest. Az utóbbi mennyiséget azonban az Országos Erdőállomány Adattárban nyilvántartott kitermelt bruttó fatérfogatból számít</w:t>
      </w:r>
      <w:r>
        <w:t>ottuk fafajcsoport és fakitermelési mód szerint.</w:t>
      </w:r>
    </w:p>
    <w:p w:rsidR="0071507A" w:rsidRDefault="00032BF3">
      <w:pPr>
        <w:pStyle w:val="Szvegtrzs"/>
      </w:pPr>
      <w:r>
        <w:t xml:space="preserve">Annak érdekében, hogy a szakirodalomból származó, nettósításhoz használt ún. apadékarányokra a továbbiakban ne legyen szükség (tehát a nettó fakitermelés közvetlenül a mintából becsülhető legyen) 2020-tól a </w:t>
      </w:r>
      <w:r>
        <w:t>mintavételt a következő módon változtattuk meg: 1.) a korábban csak az állami erdőgazdaságokra igaz teljes körűséget az állami szektor egészére kiterjesztettük (az erdőgazdaságokon kívül tehát a Nemzeti Park Igazgatóságokra és a Vízügyi Igazgatóságokra); 2</w:t>
      </w:r>
      <w:r>
        <w:t>.) a magánszektor esetében rétegzett súlyozatlan mintavételt alkalmaztunk, ahol a réteget a tervezett kitermeléssel érintett terület jelentette.</w:t>
      </w:r>
    </w:p>
    <w:p w:rsidR="0071507A" w:rsidRDefault="00032BF3">
      <w:pPr>
        <w:pStyle w:val="Szvegtrzs"/>
      </w:pPr>
      <w:r>
        <w:t>A mintavétel megváltoztatása a magánszektor esetében nem hozta meg a kívánt eredményt, a válaszadási arány alac</w:t>
      </w:r>
      <w:r>
        <w:t>sony volt, a nullás adatszolgáltatások száma pedig magas (ld. a minőségjelentésekben). Ennek hátterében a járványügyi helyzet mellett a kis területen működő erdőgazdálkodók mintába kerülése is állt.</w:t>
      </w:r>
    </w:p>
    <w:p w:rsidR="0071507A" w:rsidRDefault="00032BF3">
      <w:pPr>
        <w:pStyle w:val="Szvegtrzs"/>
      </w:pPr>
      <w:r>
        <w:t>A 2020. évi tapasztalatok alapján 2021-től kezdődően magá</w:t>
      </w:r>
      <w:r>
        <w:t>nszektor esetében áttértünk az üzemméret szerint rétegzett állandó mintára, emellett a mintanagyságot jelentősen növeltük, összesen 1 500 magán erdőgazdálkodó került a mintába. Az állandó minta előnye a kisebb kommunikációs teher és a nagyobb adatszolgálta</w:t>
      </w:r>
      <w:r>
        <w:t xml:space="preserve">tói megbízhatóság. Mindkét tényező annak </w:t>
      </w:r>
      <w:r>
        <w:lastRenderedPageBreak/>
        <w:t>köszönhető, hogy az adatszolgáltatók a többszöri adatszolgáltatás során elsajátítják a szükséges ismereteket: az alkalmazott Agrárstatisztikai Információs Rendszer használatát ill. az egyes statisztikákkal kapcsolat</w:t>
      </w:r>
      <w:r>
        <w:t>os módszertani tudnivalókat.</w:t>
      </w:r>
    </w:p>
    <w:p w:rsidR="0071507A" w:rsidRDefault="00032BF3">
      <w:pPr>
        <w:pStyle w:val="Szvegtrzs"/>
      </w:pPr>
      <w:r>
        <w:t>Az állandó minta hátránya ugyanakkor, hogy a fakitermelési tervek figyelmen kívül hagyásával a nullás adatszolgáltatások száma nagyobb lehet. Ez a hatás azonban megfelelően rétegzett mintával és nagyobb mintanagysággal ellensúl</w:t>
      </w:r>
      <w:r>
        <w:t>yozható. A 2 ha alatti üzemméretű gazdálkodókat – tekintettel azok csekély mértékű fakitermelési tevékenységére – ezért figyelmen kívül hagytuk, a 800 ha feletti üzemméretű gazdálkodókat ellenben teljes körűen mintavételeztük. A közbenső üzemméretű gazdálk</w:t>
      </w:r>
      <w:r>
        <w:t>odókat 3 rétegbe soroltuk üzemméret szerint olyan módon, hogy az egyes rétegekbe sorolt gazdálkodók által kezelt összes terület egyenlő legyen minden rétegben.</w:t>
      </w:r>
    </w:p>
    <w:p w:rsidR="0071507A" w:rsidRDefault="00032BF3">
      <w:pPr>
        <w:pStyle w:val="Szvegtrzs"/>
      </w:pPr>
      <w:r>
        <w:t>Az OSAP-ban kiemelt szempont, hogy az adatszolgáltatói terhek ne legyenek indokolatlanul magasak</w:t>
      </w:r>
      <w:r>
        <w:t>. Figyelembe kell venni, hogy habár a feljebb vázolt módszerek alkalmazásával az évenkénti adatszolgáltatások (beleértve a nullás típusúakat is) száma jelentősen nőtt, ez mégsem ró aránytalanul nagy terhet az adatszolgáltatókra. A nullás adatszolgáltatás e</w:t>
      </w:r>
      <w:r>
        <w:t>lektronikus úton való benyújtása ugyanis ténylegesen csupán néhány perc. A nem-nullás adatszolgáltatások számának növelésével viszont a becsült statisztikák jóval megbízhatóbbá váltak.</w:t>
      </w:r>
    </w:p>
    <w:p w:rsidR="0071507A" w:rsidRDefault="00032BF3">
      <w:pPr>
        <w:pStyle w:val="Cmsor2"/>
      </w:pPr>
      <w:bookmarkStart w:id="2" w:name="az-adatok-feldolgozása"/>
      <w:bookmarkEnd w:id="1"/>
      <w:r>
        <w:t>1.2. Az adatok feldolgozása</w:t>
      </w:r>
    </w:p>
    <w:p w:rsidR="0071507A" w:rsidRDefault="00032BF3">
      <w:pPr>
        <w:pStyle w:val="FirstParagraph"/>
      </w:pPr>
      <w:r>
        <w:t xml:space="preserve">Az adatok feldolgozásának két fő része: az </w:t>
      </w:r>
      <w:r>
        <w:t>adattisztítás ill. a mintavételi adatok országos szintre skálázása (kiterjesztés).</w:t>
      </w:r>
    </w:p>
    <w:p w:rsidR="0071507A" w:rsidRDefault="00032BF3">
      <w:pPr>
        <w:pStyle w:val="Szvegtrzs"/>
      </w:pPr>
      <w:r>
        <w:t>Az adattisztítás során az egyes változók eloszlásának vizsgálatával ill. az adatlapok közötti keresztellenőrzésekkel azonosítjuk az egyértelműen hibás ill. gyanús értékeket,</w:t>
      </w:r>
      <w:r>
        <w:t xml:space="preserve"> majd szükség esetén az adatszolgáltató megkeresésével javítjuk azokat.</w:t>
      </w:r>
    </w:p>
    <w:p w:rsidR="0071507A" w:rsidRDefault="00032BF3">
      <w:pPr>
        <w:pStyle w:val="Szvegtrzs"/>
      </w:pPr>
      <w:r>
        <w:t>A kiterjesztést a bejelentett bruttó fakitermelés alapján végezzük el. Ez azt jelenti, hogy rétegenként és fafajcsoportonként megvizsgáljuk a lefedettséget, vagyis azt, hogy az adott r</w:t>
      </w:r>
      <w:r>
        <w:t xml:space="preserve">étegbe tartozó erdőgazdálkodók mennyi bruttó fakitermelést jelentettek be fafajcsoportonként a mintába kerülő erdőgazdálkodók által lejelentett bruttó fakitermeléshez képest, majd az így számolt aránnyal szorozzuk be a mintából számolt nettó fakitermelési </w:t>
      </w:r>
      <w:r>
        <w:t>értékeket. Ilyen módon megkapjuk a megmintázott alapsokaságra vonatkozó országos nettó fakitermelést. Az alapsokaság azonban nem fedi le teljes mértékben az összes bruttó fakitermelést, hiszen a rendezetlen (gazdálkodó nélküli) vagy tárgyévben azzá váló, v</w:t>
      </w:r>
      <w:r>
        <w:t>alamint a 2 ha üzemméretnél kisebb területű erdőgazdálkodók a mintában nem reprezentáltak. A számítás utolsó lépéseként tehát a teljes bruttó fakitermelés ill. az alapsokaság bruttó fakitermelési értékéből fafajcsoportonként számított arány alapján országo</w:t>
      </w:r>
      <w:r>
        <w:t>s szintre vetítjük a statisztikákat.</w:t>
      </w:r>
    </w:p>
    <w:p w:rsidR="0071507A" w:rsidRDefault="00032BF3">
      <w:pPr>
        <w:pStyle w:val="Cmsor1"/>
      </w:pPr>
      <w:bookmarkStart w:id="3" w:name="országos-nettó-fakitermelés"/>
      <w:bookmarkEnd w:id="0"/>
      <w:bookmarkEnd w:id="2"/>
      <w:r>
        <w:t>2. Országos nettó fakitermelés</w:t>
      </w:r>
    </w:p>
    <w:p w:rsidR="0071507A" w:rsidRDefault="00032BF3">
      <w:pPr>
        <w:pStyle w:val="FirstParagraph"/>
      </w:pPr>
      <w:r>
        <w:t xml:space="preserve">Az </w:t>
      </w:r>
      <w:proofErr w:type="spellStart"/>
      <w:r>
        <w:t>országos</w:t>
      </w:r>
      <w:proofErr w:type="spellEnd"/>
      <w:r>
        <w:t xml:space="preserve"> </w:t>
      </w:r>
      <w:proofErr w:type="spellStart"/>
      <w:r>
        <w:t>nettó</w:t>
      </w:r>
      <w:proofErr w:type="spellEnd"/>
      <w:r>
        <w:t xml:space="preserve"> </w:t>
      </w:r>
      <w:proofErr w:type="spellStart"/>
      <w:r>
        <w:t>fakitermelés</w:t>
      </w:r>
      <w:proofErr w:type="spellEnd"/>
      <w:r>
        <w:t xml:space="preserve"> 2</w:t>
      </w:r>
      <w:r>
        <w:t>022</w:t>
      </w:r>
      <w:r>
        <w:t>-ben 7</w:t>
      </w:r>
      <w:proofErr w:type="gramStart"/>
      <w:r>
        <w:t>,3</w:t>
      </w:r>
      <w:proofErr w:type="gramEnd"/>
      <w:r>
        <w:t xml:space="preserve"> </w:t>
      </w:r>
      <w:proofErr w:type="spellStart"/>
      <w:r>
        <w:t>millió</w:t>
      </w:r>
      <w:proofErr w:type="spellEnd"/>
      <w:r>
        <w:t xml:space="preserve"> m</w:t>
      </w:r>
      <w:r>
        <w:rPr>
          <w:vertAlign w:val="superscript"/>
        </w:rPr>
        <w:t>3</w:t>
      </w:r>
      <w:r>
        <w:t xml:space="preserve"> volt, </w:t>
      </w:r>
      <w:proofErr w:type="spellStart"/>
      <w:r>
        <w:t>amelynek</w:t>
      </w:r>
      <w:proofErr w:type="spellEnd"/>
      <w:r>
        <w:t xml:space="preserve"> 60</w:t>
      </w:r>
      <w:r>
        <w:t xml:space="preserve"> %-a (4,4 </w:t>
      </w:r>
      <w:proofErr w:type="spellStart"/>
      <w:r>
        <w:t>millió</w:t>
      </w:r>
      <w:proofErr w:type="spellEnd"/>
      <w:r>
        <w:t xml:space="preserve"> m</w:t>
      </w:r>
      <w:r>
        <w:rPr>
          <w:vertAlign w:val="superscript"/>
        </w:rPr>
        <w:t>3</w:t>
      </w:r>
      <w:r>
        <w:t>) az állami szektorból származott (1. ábra). Több mint 1 millió m</w:t>
      </w:r>
      <w:r>
        <w:rPr>
          <w:vertAlign w:val="superscript"/>
        </w:rPr>
        <w:t>3</w:t>
      </w:r>
      <w:r>
        <w:t xml:space="preserve"> volt </w:t>
      </w:r>
      <w:proofErr w:type="spellStart"/>
      <w:proofErr w:type="gramStart"/>
      <w:r>
        <w:t>az</w:t>
      </w:r>
      <w:proofErr w:type="spellEnd"/>
      <w:proofErr w:type="gramEnd"/>
      <w:r>
        <w:t xml:space="preserve"> </w:t>
      </w:r>
      <w:proofErr w:type="spellStart"/>
      <w:r>
        <w:t>akác</w:t>
      </w:r>
      <w:proofErr w:type="spellEnd"/>
      <w:r>
        <w:t xml:space="preserve">, </w:t>
      </w:r>
      <w:r w:rsidR="004978FB">
        <w:t xml:space="preserve">a </w:t>
      </w:r>
      <w:proofErr w:type="spellStart"/>
      <w:r>
        <w:t>nemes</w:t>
      </w:r>
      <w:proofErr w:type="spellEnd"/>
      <w:r>
        <w:t xml:space="preserve"> </w:t>
      </w:r>
      <w:proofErr w:type="spellStart"/>
      <w:r>
        <w:t>nyár</w:t>
      </w:r>
      <w:proofErr w:type="spellEnd"/>
      <w:r w:rsidR="004978FB">
        <w:t xml:space="preserve"> </w:t>
      </w:r>
      <w:proofErr w:type="spellStart"/>
      <w:r w:rsidR="004978FB">
        <w:t>és</w:t>
      </w:r>
      <w:proofErr w:type="spellEnd"/>
      <w:r w:rsidR="004978FB">
        <w:t xml:space="preserve"> a</w:t>
      </w:r>
      <w:r>
        <w:t xml:space="preserve"> </w:t>
      </w:r>
      <w:proofErr w:type="spellStart"/>
      <w:r>
        <w:t>fenyő</w:t>
      </w:r>
      <w:proofErr w:type="spellEnd"/>
      <w:r>
        <w:t xml:space="preserve"> </w:t>
      </w:r>
      <w:proofErr w:type="spellStart"/>
      <w:r>
        <w:t>fatérfogata</w:t>
      </w:r>
      <w:proofErr w:type="spellEnd"/>
      <w:r>
        <w:t xml:space="preserve">. Az akác és a nemes nyár fahasználat főként a magánszektorra volt jellemző, egyéb fafajokból az állami szektorban volt nagyobb a fakitermelés. </w:t>
      </w:r>
      <w:proofErr w:type="gramStart"/>
      <w:r>
        <w:t>Az</w:t>
      </w:r>
      <w:proofErr w:type="gramEnd"/>
      <w:r>
        <w:t xml:space="preserve"> országos </w:t>
      </w:r>
      <w:proofErr w:type="spellStart"/>
      <w:r>
        <w:t>szintre</w:t>
      </w:r>
      <w:proofErr w:type="spellEnd"/>
      <w:r>
        <w:t xml:space="preserve"> </w:t>
      </w:r>
      <w:proofErr w:type="spellStart"/>
      <w:r>
        <w:t>számított</w:t>
      </w:r>
      <w:proofErr w:type="spellEnd"/>
      <w:r>
        <w:t xml:space="preserve"> </w:t>
      </w:r>
      <w:proofErr w:type="spellStart"/>
      <w:r>
        <w:t>apadék</w:t>
      </w:r>
      <w:proofErr w:type="spellEnd"/>
      <w:r>
        <w:t xml:space="preserve"> 11</w:t>
      </w:r>
      <w:r>
        <w:t xml:space="preserve"> % volt.</w:t>
      </w:r>
    </w:p>
    <w:p w:rsidR="0071507A" w:rsidRDefault="00032BF3">
      <w:pPr>
        <w:pStyle w:val="CaptionedFigure"/>
      </w:pPr>
      <w:bookmarkStart w:id="4" w:name="_GoBack"/>
      <w:r>
        <w:rPr>
          <w:noProof/>
          <w:lang w:val="hu-HU" w:eastAsia="hu-HU"/>
        </w:rPr>
        <w:lastRenderedPageBreak/>
        <w:drawing>
          <wp:inline distT="0" distB="0" distL="0" distR="0">
            <wp:extent cx="5400000" cy="2700000"/>
            <wp:effectExtent l="0" t="0" r="0" b="5715"/>
            <wp:docPr id="25" name="Picture" descr="1. ábra Nettó fakitermelés fajonként és szektoronké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descr="stat_közlem_1257_files/figure-docx/abra_1-1.png"/>
                    <pic:cNvPicPr>
                      <a:picLocks noChangeAspect="1" noChangeArrowheads="1"/>
                    </pic:cNvPicPr>
                  </pic:nvPicPr>
                  <pic:blipFill>
                    <a:blip r:embed="rId8"/>
                    <a:stretch>
                      <a:fillRect/>
                    </a:stretch>
                  </pic:blipFill>
                  <pic:spPr bwMode="auto">
                    <a:xfrm>
                      <a:off x="0" y="0"/>
                      <a:ext cx="5400000" cy="2700000"/>
                    </a:xfrm>
                    <a:prstGeom prst="rect">
                      <a:avLst/>
                    </a:prstGeom>
                    <a:noFill/>
                    <a:ln w="9525">
                      <a:noFill/>
                      <a:headEnd/>
                      <a:tailEnd/>
                    </a:ln>
                  </pic:spPr>
                </pic:pic>
              </a:graphicData>
            </a:graphic>
          </wp:inline>
        </w:drawing>
      </w:r>
      <w:bookmarkEnd w:id="4"/>
    </w:p>
    <w:p w:rsidR="0071507A" w:rsidRDefault="00032BF3">
      <w:pPr>
        <w:pStyle w:val="ImageCaption"/>
      </w:pPr>
      <w:r>
        <w:t>1. ábra Nettó fakitermelés fajonként és sze</w:t>
      </w:r>
      <w:r>
        <w:t>ktoronként.</w:t>
      </w:r>
    </w:p>
    <w:p w:rsidR="0071507A" w:rsidRDefault="00032BF3">
      <w:pPr>
        <w:pStyle w:val="Cmsor1"/>
      </w:pPr>
      <w:bookmarkStart w:id="5" w:name="a-nettó-fakitermelés-választékszerkezete"/>
      <w:bookmarkEnd w:id="3"/>
      <w:r>
        <w:t>3. A nettó fakitermelés választékszerkezete</w:t>
      </w:r>
    </w:p>
    <w:p w:rsidR="0071507A" w:rsidRDefault="00032BF3">
      <w:pPr>
        <w:pStyle w:val="FirstParagraph"/>
      </w:pPr>
      <w:r>
        <w:t xml:space="preserve">A </w:t>
      </w:r>
      <w:proofErr w:type="spellStart"/>
      <w:r>
        <w:t>kitermelt</w:t>
      </w:r>
      <w:proofErr w:type="spellEnd"/>
      <w:r>
        <w:t xml:space="preserve"> </w:t>
      </w:r>
      <w:proofErr w:type="spellStart"/>
      <w:r>
        <w:t>nettó</w:t>
      </w:r>
      <w:proofErr w:type="spellEnd"/>
      <w:r>
        <w:t xml:space="preserve"> </w:t>
      </w:r>
      <w:proofErr w:type="spellStart"/>
      <w:r>
        <w:t>fatérfogat</w:t>
      </w:r>
      <w:proofErr w:type="spellEnd"/>
      <w:r>
        <w:t xml:space="preserve"> 60</w:t>
      </w:r>
      <w:r>
        <w:t xml:space="preserve"> %-a (4</w:t>
      </w:r>
      <w:proofErr w:type="gramStart"/>
      <w:r>
        <w:t>,4</w:t>
      </w:r>
      <w:proofErr w:type="gramEnd"/>
      <w:r>
        <w:t xml:space="preserve"> </w:t>
      </w:r>
      <w:proofErr w:type="spellStart"/>
      <w:r>
        <w:t>millió</w:t>
      </w:r>
      <w:proofErr w:type="spellEnd"/>
      <w:r>
        <w:t xml:space="preserve"> m</w:t>
      </w:r>
      <w:r>
        <w:rPr>
          <w:vertAlign w:val="superscript"/>
        </w:rPr>
        <w:t>3</w:t>
      </w:r>
      <w:r>
        <w:t>) volt tűzifa. Abszolút értékben akácból, tölgyből, cserből és az egyéb kemény lombos fafajokból keletkezett a legtöbb tűzifa (2. ábra). A tűzifa ar</w:t>
      </w:r>
      <w:r>
        <w:t>ánya az említett fajok mellett a gyertyán esetében volt magas (3. ábra). A legjelentősebb mértékű iparifa kihozatal nemes nyárból volt.</w:t>
      </w:r>
    </w:p>
    <w:p w:rsidR="0071507A" w:rsidRDefault="00032BF3">
      <w:pPr>
        <w:pStyle w:val="Szvegtrzs"/>
      </w:pPr>
      <w:r>
        <w:t>Az iparifa választékok közül a fűrészipari rönk fatérfogata volt a legmagasabb, 1,2 millió m</w:t>
      </w:r>
      <w:r>
        <w:rPr>
          <w:vertAlign w:val="superscript"/>
        </w:rPr>
        <w:t>3</w:t>
      </w:r>
      <w:r>
        <w:t xml:space="preserve"> (4. ábra). A papír- és ros</w:t>
      </w:r>
      <w:r>
        <w:t>tfa nettó térfogata együttesen 0,8 millió m</w:t>
      </w:r>
      <w:r>
        <w:rPr>
          <w:vertAlign w:val="superscript"/>
        </w:rPr>
        <w:t>3</w:t>
      </w:r>
      <w:r>
        <w:t>-t tett ki.</w:t>
      </w:r>
    </w:p>
    <w:p w:rsidR="0071507A" w:rsidRDefault="00032BF3">
      <w:pPr>
        <w:pStyle w:val="CaptionedFigure"/>
      </w:pPr>
      <w:r>
        <w:rPr>
          <w:noProof/>
          <w:lang w:val="hu-HU" w:eastAsia="hu-HU"/>
        </w:rPr>
        <w:drawing>
          <wp:inline distT="0" distB="0" distL="0" distR="0">
            <wp:extent cx="5969000" cy="2984500"/>
            <wp:effectExtent l="0" t="0" r="0" b="0"/>
            <wp:docPr id="29" name="Picture" descr="2. ábra Ipari- és tűzifa kitermelés fafajonként."/>
            <wp:cNvGraphicFramePr/>
            <a:graphic xmlns:a="http://schemas.openxmlformats.org/drawingml/2006/main">
              <a:graphicData uri="http://schemas.openxmlformats.org/drawingml/2006/picture">
                <pic:pic xmlns:pic="http://schemas.openxmlformats.org/drawingml/2006/picture">
                  <pic:nvPicPr>
                    <pic:cNvPr id="30" name="Picture" descr="stat_közlem_1257_files/figure-docx/abra_2-1.png"/>
                    <pic:cNvPicPr>
                      <a:picLocks noChangeAspect="1" noChangeArrowheads="1"/>
                    </pic:cNvPicPr>
                  </pic:nvPicPr>
                  <pic:blipFill>
                    <a:blip r:embed="rId9"/>
                    <a:stretch>
                      <a:fillRect/>
                    </a:stretch>
                  </pic:blipFill>
                  <pic:spPr bwMode="auto">
                    <a:xfrm>
                      <a:off x="0" y="0"/>
                      <a:ext cx="5969000" cy="2984500"/>
                    </a:xfrm>
                    <a:prstGeom prst="rect">
                      <a:avLst/>
                    </a:prstGeom>
                    <a:noFill/>
                    <a:ln w="9525">
                      <a:noFill/>
                      <a:headEnd/>
                      <a:tailEnd/>
                    </a:ln>
                  </pic:spPr>
                </pic:pic>
              </a:graphicData>
            </a:graphic>
          </wp:inline>
        </w:drawing>
      </w:r>
    </w:p>
    <w:p w:rsidR="0071507A" w:rsidRDefault="00032BF3">
      <w:pPr>
        <w:pStyle w:val="ImageCaption"/>
      </w:pPr>
      <w:r>
        <w:t>2. ábra Ipari- és tűzifa kitermelés fafajonként.</w:t>
      </w:r>
    </w:p>
    <w:p w:rsidR="0071507A" w:rsidRDefault="00032BF3">
      <w:pPr>
        <w:pStyle w:val="CaptionedFigure"/>
      </w:pPr>
      <w:r>
        <w:rPr>
          <w:noProof/>
          <w:lang w:val="hu-HU" w:eastAsia="hu-HU"/>
        </w:rPr>
        <w:lastRenderedPageBreak/>
        <w:drawing>
          <wp:inline distT="0" distB="0" distL="0" distR="0">
            <wp:extent cx="5969000" cy="2984500"/>
            <wp:effectExtent l="0" t="0" r="0" b="0"/>
            <wp:docPr id="32" name="Picture" descr="3. ábra Tűzifa aránya fajonként és szektoronként."/>
            <wp:cNvGraphicFramePr/>
            <a:graphic xmlns:a="http://schemas.openxmlformats.org/drawingml/2006/main">
              <a:graphicData uri="http://schemas.openxmlformats.org/drawingml/2006/picture">
                <pic:pic xmlns:pic="http://schemas.openxmlformats.org/drawingml/2006/picture">
                  <pic:nvPicPr>
                    <pic:cNvPr id="33" name="Picture" descr="stat_közlem_1257_files/figure-docx/abra_3-1.png"/>
                    <pic:cNvPicPr>
                      <a:picLocks noChangeAspect="1" noChangeArrowheads="1"/>
                    </pic:cNvPicPr>
                  </pic:nvPicPr>
                  <pic:blipFill>
                    <a:blip r:embed="rId10"/>
                    <a:stretch>
                      <a:fillRect/>
                    </a:stretch>
                  </pic:blipFill>
                  <pic:spPr bwMode="auto">
                    <a:xfrm>
                      <a:off x="0" y="0"/>
                      <a:ext cx="5969000" cy="2984500"/>
                    </a:xfrm>
                    <a:prstGeom prst="rect">
                      <a:avLst/>
                    </a:prstGeom>
                    <a:noFill/>
                    <a:ln w="9525">
                      <a:noFill/>
                      <a:headEnd/>
                      <a:tailEnd/>
                    </a:ln>
                  </pic:spPr>
                </pic:pic>
              </a:graphicData>
            </a:graphic>
          </wp:inline>
        </w:drawing>
      </w:r>
    </w:p>
    <w:p w:rsidR="0071507A" w:rsidRDefault="00032BF3">
      <w:pPr>
        <w:pStyle w:val="ImageCaption"/>
      </w:pPr>
      <w:r>
        <w:t>3. ábra Tűzifa aránya fajonként és szektoronként.</w:t>
      </w:r>
    </w:p>
    <w:p w:rsidR="0071507A" w:rsidRDefault="00032BF3">
      <w:pPr>
        <w:pStyle w:val="CaptionedFigure"/>
      </w:pPr>
      <w:r>
        <w:rPr>
          <w:noProof/>
          <w:lang w:val="hu-HU" w:eastAsia="hu-HU"/>
        </w:rPr>
        <w:drawing>
          <wp:inline distT="0" distB="0" distL="0" distR="0">
            <wp:extent cx="5969000" cy="2984500"/>
            <wp:effectExtent l="0" t="0" r="0" b="0"/>
            <wp:docPr id="35" name="Picture" descr="4. ábra Az iparifa választékösszetétele. A statisztikák ezer m3-ben kifejezett fatérfogatban vannak megadva, a téglalapok méretarányosak. A bányászati faanyagok csekély mennyiségük miatt nem jelennek meg az ábrán."/>
            <wp:cNvGraphicFramePr/>
            <a:graphic xmlns:a="http://schemas.openxmlformats.org/drawingml/2006/main">
              <a:graphicData uri="http://schemas.openxmlformats.org/drawingml/2006/picture">
                <pic:pic xmlns:pic="http://schemas.openxmlformats.org/drawingml/2006/picture">
                  <pic:nvPicPr>
                    <pic:cNvPr id="36" name="Picture" descr="stat_közlem_1257_files/figure-docx/abra_4-1.png"/>
                    <pic:cNvPicPr>
                      <a:picLocks noChangeAspect="1" noChangeArrowheads="1"/>
                    </pic:cNvPicPr>
                  </pic:nvPicPr>
                  <pic:blipFill>
                    <a:blip r:embed="rId11"/>
                    <a:stretch>
                      <a:fillRect/>
                    </a:stretch>
                  </pic:blipFill>
                  <pic:spPr bwMode="auto">
                    <a:xfrm>
                      <a:off x="0" y="0"/>
                      <a:ext cx="5969000" cy="2984500"/>
                    </a:xfrm>
                    <a:prstGeom prst="rect">
                      <a:avLst/>
                    </a:prstGeom>
                    <a:noFill/>
                    <a:ln w="9525">
                      <a:noFill/>
                      <a:headEnd/>
                      <a:tailEnd/>
                    </a:ln>
                  </pic:spPr>
                </pic:pic>
              </a:graphicData>
            </a:graphic>
          </wp:inline>
        </w:drawing>
      </w:r>
    </w:p>
    <w:p w:rsidR="0071507A" w:rsidRDefault="00032BF3">
      <w:pPr>
        <w:pStyle w:val="ImageCaption"/>
      </w:pPr>
      <w:r>
        <w:t>4. ábra Az iparifa választékösszetétele. A statisztikák ezer m3-ben kifejezett fatérfogatban vannak megadva, a téglalapok méretarányosak. A bányászati faanyagok csekély mennyiségük miatt nem jelennek meg az ábrán.</w:t>
      </w:r>
    </w:p>
    <w:p w:rsidR="0071507A" w:rsidRDefault="00032BF3">
      <w:pPr>
        <w:pStyle w:val="Cmsor1"/>
      </w:pPr>
      <w:bookmarkStart w:id="6" w:name="az-országos-nettó-fakitermelés-változása"/>
      <w:bookmarkEnd w:id="5"/>
      <w:r>
        <w:t>4. Az országos nettó fakitermelés változás</w:t>
      </w:r>
      <w:r>
        <w:t>a</w:t>
      </w:r>
    </w:p>
    <w:p w:rsidR="0071507A" w:rsidRDefault="00032BF3">
      <w:pPr>
        <w:pStyle w:val="FirstParagraph"/>
      </w:pPr>
      <w:r>
        <w:t>A nettó fakitermelés a 2011. évi csúcsot követően 2020-ig kisebb-nagyobb ingadozással csökkent, majd jelent</w:t>
      </w:r>
      <w:r w:rsidR="004978FB">
        <w:t>ősen nőtt (5. ábra, 6. ábra). 2</w:t>
      </w:r>
      <w:r>
        <w:t>022</w:t>
      </w:r>
      <w:r>
        <w:t xml:space="preserve">-ben a </w:t>
      </w:r>
      <w:proofErr w:type="spellStart"/>
      <w:r>
        <w:t>tűzifa</w:t>
      </w:r>
      <w:proofErr w:type="spellEnd"/>
      <w:r>
        <w:t xml:space="preserve"> </w:t>
      </w:r>
      <w:proofErr w:type="spellStart"/>
      <w:r>
        <w:t>évi</w:t>
      </w:r>
      <w:proofErr w:type="spellEnd"/>
      <w:r>
        <w:t xml:space="preserve"> fatérfogata az azt megelőző 14 év legmagasabb értéke, az iparifa mennyisége a sokéves átlagn</w:t>
      </w:r>
      <w:r>
        <w:t xml:space="preserve">ak megfelelő volt. A </w:t>
      </w:r>
      <w:r>
        <w:lastRenderedPageBreak/>
        <w:t>kitermelt faanyag faj-összetétele évről-évre kismértékben változó volt, jelentős mértékű trend-szerű folyamat abban nem figyelhető meg.</w:t>
      </w:r>
    </w:p>
    <w:p w:rsidR="0071507A" w:rsidRDefault="00032BF3">
      <w:pPr>
        <w:pStyle w:val="CaptionedFigure"/>
      </w:pPr>
      <w:r>
        <w:rPr>
          <w:noProof/>
          <w:lang w:val="hu-HU" w:eastAsia="hu-HU"/>
        </w:rPr>
        <w:drawing>
          <wp:inline distT="0" distB="0" distL="0" distR="0">
            <wp:extent cx="5969000" cy="2984500"/>
            <wp:effectExtent l="0" t="0" r="0" b="0"/>
            <wp:docPr id="39" name="Picture" descr="5. ábra Az ipari- és tűzifatermelés változása az elmúlt 14 évben."/>
            <wp:cNvGraphicFramePr/>
            <a:graphic xmlns:a="http://schemas.openxmlformats.org/drawingml/2006/main">
              <a:graphicData uri="http://schemas.openxmlformats.org/drawingml/2006/picture">
                <pic:pic xmlns:pic="http://schemas.openxmlformats.org/drawingml/2006/picture">
                  <pic:nvPicPr>
                    <pic:cNvPr id="40" name="Picture" descr="stat_közlem_1257_files/figure-docx/abra_5-1.png"/>
                    <pic:cNvPicPr>
                      <a:picLocks noChangeAspect="1" noChangeArrowheads="1"/>
                    </pic:cNvPicPr>
                  </pic:nvPicPr>
                  <pic:blipFill>
                    <a:blip r:embed="rId12"/>
                    <a:stretch>
                      <a:fillRect/>
                    </a:stretch>
                  </pic:blipFill>
                  <pic:spPr bwMode="auto">
                    <a:xfrm>
                      <a:off x="0" y="0"/>
                      <a:ext cx="5969000" cy="2984500"/>
                    </a:xfrm>
                    <a:prstGeom prst="rect">
                      <a:avLst/>
                    </a:prstGeom>
                    <a:noFill/>
                    <a:ln w="9525">
                      <a:noFill/>
                      <a:headEnd/>
                      <a:tailEnd/>
                    </a:ln>
                  </pic:spPr>
                </pic:pic>
              </a:graphicData>
            </a:graphic>
          </wp:inline>
        </w:drawing>
      </w:r>
    </w:p>
    <w:p w:rsidR="0071507A" w:rsidRDefault="00032BF3">
      <w:pPr>
        <w:pStyle w:val="ImageCaption"/>
      </w:pPr>
      <w:r>
        <w:t>5. ábra Az ipari- és tűzifatermelés változása az elmúlt 14 évben.</w:t>
      </w:r>
    </w:p>
    <w:p w:rsidR="0071507A" w:rsidRDefault="00032BF3">
      <w:pPr>
        <w:pStyle w:val="CaptionedFigure"/>
      </w:pPr>
      <w:r>
        <w:rPr>
          <w:noProof/>
          <w:lang w:val="hu-HU" w:eastAsia="hu-HU"/>
        </w:rPr>
        <w:drawing>
          <wp:inline distT="0" distB="0" distL="0" distR="0">
            <wp:extent cx="5969000" cy="2984500"/>
            <wp:effectExtent l="0" t="0" r="0" b="0"/>
            <wp:docPr id="42" name="Picture" descr="6. ábra A fajonkénti nettó fakitermelés változása az elmúlt 14 évben."/>
            <wp:cNvGraphicFramePr/>
            <a:graphic xmlns:a="http://schemas.openxmlformats.org/drawingml/2006/main">
              <a:graphicData uri="http://schemas.openxmlformats.org/drawingml/2006/picture">
                <pic:pic xmlns:pic="http://schemas.openxmlformats.org/drawingml/2006/picture">
                  <pic:nvPicPr>
                    <pic:cNvPr id="43" name="Picture" descr="stat_közlem_1257_files/figure-docx/abra_6-1.png"/>
                    <pic:cNvPicPr>
                      <a:picLocks noChangeAspect="1" noChangeArrowheads="1"/>
                    </pic:cNvPicPr>
                  </pic:nvPicPr>
                  <pic:blipFill>
                    <a:blip r:embed="rId13"/>
                    <a:stretch>
                      <a:fillRect/>
                    </a:stretch>
                  </pic:blipFill>
                  <pic:spPr bwMode="auto">
                    <a:xfrm>
                      <a:off x="0" y="0"/>
                      <a:ext cx="5969000" cy="2984500"/>
                    </a:xfrm>
                    <a:prstGeom prst="rect">
                      <a:avLst/>
                    </a:prstGeom>
                    <a:noFill/>
                    <a:ln w="9525">
                      <a:noFill/>
                      <a:headEnd/>
                      <a:tailEnd/>
                    </a:ln>
                  </pic:spPr>
                </pic:pic>
              </a:graphicData>
            </a:graphic>
          </wp:inline>
        </w:drawing>
      </w:r>
    </w:p>
    <w:p w:rsidR="0071507A" w:rsidRDefault="00032BF3">
      <w:pPr>
        <w:pStyle w:val="ImageCaption"/>
      </w:pPr>
      <w:r>
        <w:t>6. ábra A fajonkénti nettó fa</w:t>
      </w:r>
      <w:r>
        <w:t>kitermelés változása az elmúlt 14 évben.</w:t>
      </w:r>
      <w:bookmarkEnd w:id="6"/>
    </w:p>
    <w:sectPr w:rsidR="0071507A">
      <w:footerReference w:type="default" r:id="rId14"/>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F3" w:rsidRDefault="00032BF3">
      <w:pPr>
        <w:spacing w:after="0"/>
      </w:pPr>
      <w:r>
        <w:separator/>
      </w:r>
    </w:p>
  </w:endnote>
  <w:endnote w:type="continuationSeparator" w:id="0">
    <w:p w:rsidR="00032BF3" w:rsidRDefault="00032B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634132"/>
      <w:docPartObj>
        <w:docPartGallery w:val="Page Numbers (Bottom of Page)"/>
        <w:docPartUnique/>
      </w:docPartObj>
    </w:sdtPr>
    <w:sdtEndPr/>
    <w:sdtContent>
      <w:p w:rsidR="00D52CF9" w:rsidRDefault="00032BF3">
        <w:pPr>
          <w:pStyle w:val="llb"/>
          <w:jc w:val="center"/>
        </w:pPr>
        <w:r>
          <w:fldChar w:fldCharType="begin"/>
        </w:r>
        <w:r>
          <w:instrText>PAGE   \* MERGEFORMAT</w:instrText>
        </w:r>
        <w:r>
          <w:fldChar w:fldCharType="separate"/>
        </w:r>
        <w:r w:rsidR="00DC2328" w:rsidRPr="00DC2328">
          <w:rPr>
            <w:noProof/>
            <w:lang w:val="hu-HU"/>
          </w:rPr>
          <w:t>3</w:t>
        </w:r>
        <w:r>
          <w:fldChar w:fldCharType="end"/>
        </w:r>
      </w:p>
    </w:sdtContent>
  </w:sdt>
  <w:p w:rsidR="00D52CF9" w:rsidRDefault="00032BF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F3" w:rsidRDefault="00032BF3">
      <w:r>
        <w:separator/>
      </w:r>
    </w:p>
  </w:footnote>
  <w:footnote w:type="continuationSeparator" w:id="0">
    <w:p w:rsidR="00032BF3" w:rsidRDefault="00032BF3">
      <w:r>
        <w:continuationSeparator/>
      </w:r>
    </w:p>
  </w:footnote>
  <w:footnote w:id="1">
    <w:p w:rsidR="0071507A" w:rsidRDefault="00032BF3">
      <w:pPr>
        <w:pStyle w:val="Lbjegyzetszveg"/>
      </w:pPr>
      <w:r>
        <w:rPr>
          <w:rStyle w:val="Lbjegyzet-hivatkozs"/>
        </w:rPr>
        <w:footnoteRef/>
      </w:r>
      <w:r>
        <w:t xml:space="preserve"> Szektor alatt az </w:t>
      </w:r>
      <w:r>
        <w:rPr>
          <w:i/>
          <w:iCs/>
        </w:rPr>
        <w:t>erdőgazdálkodók</w:t>
      </w:r>
      <w:r>
        <w:t xml:space="preserve"> </w:t>
      </w:r>
      <w:r>
        <w:t xml:space="preserve">gazdálkodási forma szerinti csoportosítását értjük. Nem azonos tehát a tulajdonformával, amely az erdőterület </w:t>
      </w:r>
      <w:r>
        <w:rPr>
          <w:i/>
          <w:iCs/>
        </w:rPr>
        <w:t>tulajdonos</w:t>
      </w:r>
      <w:r>
        <w:t xml:space="preserve"> szerinti osztályozása.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6A277A"/>
    <w:lvl w:ilvl="0">
      <w:start w:val="1"/>
      <w:numFmt w:val="decimal"/>
      <w:lvlText w:val="%1."/>
      <w:lvlJc w:val="left"/>
      <w:pPr>
        <w:tabs>
          <w:tab w:val="num" w:pos="1492"/>
        </w:tabs>
        <w:ind w:left="1492" w:hanging="360"/>
      </w:pPr>
    </w:lvl>
  </w:abstractNum>
  <w:abstractNum w:abstractNumId="1">
    <w:nsid w:val="FFFFFF7D"/>
    <w:multiLevelType w:val="singleLevel"/>
    <w:tmpl w:val="8834C5D8"/>
    <w:lvl w:ilvl="0">
      <w:start w:val="1"/>
      <w:numFmt w:val="decimal"/>
      <w:lvlText w:val="%1."/>
      <w:lvlJc w:val="left"/>
      <w:pPr>
        <w:tabs>
          <w:tab w:val="num" w:pos="1209"/>
        </w:tabs>
        <w:ind w:left="1209" w:hanging="360"/>
      </w:pPr>
    </w:lvl>
  </w:abstractNum>
  <w:abstractNum w:abstractNumId="2">
    <w:nsid w:val="FFFFFF7E"/>
    <w:multiLevelType w:val="singleLevel"/>
    <w:tmpl w:val="2020DB6A"/>
    <w:lvl w:ilvl="0">
      <w:start w:val="1"/>
      <w:numFmt w:val="decimal"/>
      <w:lvlText w:val="%1."/>
      <w:lvlJc w:val="left"/>
      <w:pPr>
        <w:tabs>
          <w:tab w:val="num" w:pos="926"/>
        </w:tabs>
        <w:ind w:left="926" w:hanging="360"/>
      </w:pPr>
    </w:lvl>
  </w:abstractNum>
  <w:abstractNum w:abstractNumId="3">
    <w:nsid w:val="FFFFFF7F"/>
    <w:multiLevelType w:val="singleLevel"/>
    <w:tmpl w:val="6E043292"/>
    <w:lvl w:ilvl="0">
      <w:start w:val="1"/>
      <w:numFmt w:val="decimal"/>
      <w:lvlText w:val="%1."/>
      <w:lvlJc w:val="left"/>
      <w:pPr>
        <w:tabs>
          <w:tab w:val="num" w:pos="643"/>
        </w:tabs>
        <w:ind w:left="643" w:hanging="360"/>
      </w:pPr>
    </w:lvl>
  </w:abstractNum>
  <w:abstractNum w:abstractNumId="4">
    <w:nsid w:val="FFFFFF80"/>
    <w:multiLevelType w:val="singleLevel"/>
    <w:tmpl w:val="C652D2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88B9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448E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D0BF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40152C"/>
    <w:lvl w:ilvl="0">
      <w:start w:val="1"/>
      <w:numFmt w:val="decimal"/>
      <w:lvlText w:val="%1."/>
      <w:lvlJc w:val="left"/>
      <w:pPr>
        <w:tabs>
          <w:tab w:val="num" w:pos="360"/>
        </w:tabs>
        <w:ind w:left="360" w:hanging="360"/>
      </w:pPr>
    </w:lvl>
  </w:abstractNum>
  <w:abstractNum w:abstractNumId="9">
    <w:nsid w:val="FFFFFF89"/>
    <w:multiLevelType w:val="singleLevel"/>
    <w:tmpl w:val="9D568DCC"/>
    <w:lvl w:ilvl="0">
      <w:start w:val="1"/>
      <w:numFmt w:val="bullet"/>
      <w:lvlText w:val=""/>
      <w:lvlJc w:val="left"/>
      <w:pPr>
        <w:tabs>
          <w:tab w:val="num" w:pos="360"/>
        </w:tabs>
        <w:ind w:left="360" w:hanging="360"/>
      </w:pPr>
      <w:rPr>
        <w:rFonts w:ascii="Symbol" w:hAnsi="Symbol" w:hint="default"/>
      </w:rPr>
    </w:lvl>
  </w:abstractNum>
  <w:abstractNum w:abstractNumId="10">
    <w:nsid w:val="0000A990"/>
    <w:multiLevelType w:val="multilevel"/>
    <w:tmpl w:val="F8D4688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10"/>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7A"/>
    <w:rsid w:val="00032BF3"/>
    <w:rsid w:val="004978FB"/>
    <w:rsid w:val="0071507A"/>
    <w:rsid w:val="00DC232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 w:qFormat="1"/>
    <w:lsdException w:name="footer" w:uiPriority="99"/>
    <w:lsdException w:name="Title" w:qFormat="1"/>
    <w:lsdException w:name="Body Text" w:qFormat="1"/>
    <w:lsdException w:name="Subtitle" w:qFormat="1"/>
    <w:lsdException w:name="Date" w:qFormat="1"/>
    <w:lsdException w:name="Block Text" w:uiPriority="9" w:qFormat="1"/>
    <w:lsdException w:name="Bibliography" w:qFormat="1"/>
    <w:lsdException w:name="TOC Heading" w:uiPriority="39" w:qFormat="1"/>
  </w:latentStyles>
  <w:style w:type="paragraph" w:default="1" w:styleId="Norml">
    <w:name w:val="Normal"/>
    <w:qFormat/>
    <w:rsid w:val="00985A2A"/>
    <w:pPr>
      <w:jc w:val="both"/>
    </w:pPr>
    <w:rPr>
      <w:rFonts w:ascii="Times New Roman" w:hAnsi="Times New Roman"/>
    </w:rPr>
  </w:style>
  <w:style w:type="paragraph" w:styleId="Cmsor1">
    <w:name w:val="heading 1"/>
    <w:basedOn w:val="Norml"/>
    <w:next w:val="Szvegtrzs"/>
    <w:uiPriority w:val="9"/>
    <w:qFormat/>
    <w:rsid w:val="00985A2A"/>
    <w:pPr>
      <w:keepNext/>
      <w:keepLines/>
      <w:spacing w:before="480" w:after="0"/>
      <w:outlineLvl w:val="0"/>
    </w:pPr>
    <w:rPr>
      <w:rFonts w:eastAsiaTheme="majorEastAsia" w:cstheme="majorBidi"/>
      <w:b/>
      <w:bCs/>
      <w:color w:val="4F81BD" w:themeColor="accent1"/>
      <w:sz w:val="32"/>
      <w:szCs w:val="32"/>
    </w:rPr>
  </w:style>
  <w:style w:type="paragraph" w:styleId="Cmsor2">
    <w:name w:val="heading 2"/>
    <w:basedOn w:val="Norml"/>
    <w:next w:val="Szvegtrzs"/>
    <w:uiPriority w:val="9"/>
    <w:unhideWhenUsed/>
    <w:qFormat/>
    <w:rsid w:val="00985A2A"/>
    <w:pPr>
      <w:keepNext/>
      <w:keepLines/>
      <w:spacing w:before="200" w:after="0"/>
      <w:outlineLvl w:val="1"/>
    </w:pPr>
    <w:rPr>
      <w:rFonts w:eastAsiaTheme="majorEastAsia" w:cstheme="majorBidi"/>
      <w:b/>
      <w:bCs/>
      <w:color w:val="4F81BD" w:themeColor="accent1"/>
      <w:sz w:val="28"/>
      <w:szCs w:val="28"/>
    </w:rPr>
  </w:style>
  <w:style w:type="paragraph" w:styleId="Cmsor3">
    <w:name w:val="heading 3"/>
    <w:basedOn w:val="Norml"/>
    <w:next w:val="Szvegtrzs"/>
    <w:uiPriority w:val="9"/>
    <w:unhideWhenUsed/>
    <w:qFormat/>
    <w:rsid w:val="00F85021"/>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Szvegtrzs"/>
    <w:uiPriority w:val="9"/>
    <w:unhideWhenUsed/>
    <w:qFormat/>
    <w:rsid w:val="00F85021"/>
    <w:pPr>
      <w:keepNext/>
      <w:keepLines/>
      <w:spacing w:before="200" w:after="0"/>
      <w:outlineLvl w:val="3"/>
    </w:pPr>
    <w:rPr>
      <w:rFonts w:asciiTheme="majorHAnsi" w:eastAsiaTheme="majorEastAsia" w:hAnsiTheme="majorHAnsi" w:cstheme="majorBidi"/>
      <w:bCs/>
      <w:i/>
      <w:color w:val="4F81BD" w:themeColor="accent1"/>
    </w:rPr>
  </w:style>
  <w:style w:type="paragraph" w:styleId="Cmsor5">
    <w:name w:val="heading 5"/>
    <w:basedOn w:val="Norml"/>
    <w:next w:val="Szvegtrzs"/>
    <w:uiPriority w:val="9"/>
    <w:unhideWhenUsed/>
    <w:qFormat/>
    <w:rsid w:val="00F85021"/>
    <w:pPr>
      <w:keepNext/>
      <w:keepLines/>
      <w:spacing w:before="200" w:after="0"/>
      <w:outlineLvl w:val="4"/>
    </w:pPr>
    <w:rPr>
      <w:rFonts w:asciiTheme="majorHAnsi" w:eastAsiaTheme="majorEastAsia" w:hAnsiTheme="majorHAnsi" w:cstheme="majorBidi"/>
      <w:iCs/>
      <w:color w:val="4F81BD" w:themeColor="accent1"/>
    </w:rPr>
  </w:style>
  <w:style w:type="paragraph" w:styleId="Cmsor6">
    <w:name w:val="heading 6"/>
    <w:basedOn w:val="Norml"/>
    <w:next w:val="Szvegtrzs"/>
    <w:uiPriority w:val="9"/>
    <w:unhideWhenUsed/>
    <w:qFormat/>
    <w:rsid w:val="00F85021"/>
    <w:pPr>
      <w:keepNext/>
      <w:keepLines/>
      <w:spacing w:before="200" w:after="0"/>
      <w:outlineLvl w:val="5"/>
    </w:pPr>
    <w:rPr>
      <w:rFonts w:asciiTheme="majorHAnsi" w:eastAsiaTheme="majorEastAsia" w:hAnsiTheme="majorHAnsi" w:cstheme="majorBidi"/>
      <w:color w:val="4F81BD" w:themeColor="accent1"/>
    </w:rPr>
  </w:style>
  <w:style w:type="paragraph" w:styleId="Cmsor7">
    <w:name w:val="heading 7"/>
    <w:basedOn w:val="Norml"/>
    <w:next w:val="Szvegtrzs"/>
    <w:uiPriority w:val="9"/>
    <w:unhideWhenUsed/>
    <w:qFormat/>
    <w:rsid w:val="00F85021"/>
    <w:pPr>
      <w:keepNext/>
      <w:keepLines/>
      <w:spacing w:before="200" w:after="0"/>
      <w:outlineLvl w:val="6"/>
    </w:pPr>
    <w:rPr>
      <w:rFonts w:asciiTheme="majorHAnsi" w:eastAsiaTheme="majorEastAsia" w:hAnsiTheme="majorHAnsi" w:cstheme="majorBidi"/>
      <w:color w:val="4F81BD" w:themeColor="accent1"/>
    </w:rPr>
  </w:style>
  <w:style w:type="paragraph" w:styleId="Cmsor8">
    <w:name w:val="heading 8"/>
    <w:basedOn w:val="Norml"/>
    <w:next w:val="Szvegtrzs"/>
    <w:uiPriority w:val="9"/>
    <w:unhideWhenUsed/>
    <w:qFormat/>
    <w:rsid w:val="00F85021"/>
    <w:pPr>
      <w:keepNext/>
      <w:keepLines/>
      <w:spacing w:before="200" w:after="0"/>
      <w:outlineLvl w:val="7"/>
    </w:pPr>
    <w:rPr>
      <w:rFonts w:asciiTheme="majorHAnsi" w:eastAsiaTheme="majorEastAsia" w:hAnsiTheme="majorHAnsi" w:cstheme="majorBidi"/>
      <w:color w:val="4F81BD" w:themeColor="accent1"/>
    </w:rPr>
  </w:style>
  <w:style w:type="paragraph" w:styleId="Cmsor9">
    <w:name w:val="heading 9"/>
    <w:basedOn w:val="Norml"/>
    <w:next w:val="Szvegtrzs"/>
    <w:uiPriority w:val="9"/>
    <w:unhideWhenUsed/>
    <w:qFormat/>
    <w:rsid w:val="00F85021"/>
    <w:pPr>
      <w:keepNext/>
      <w:keepLines/>
      <w:spacing w:before="200" w:after="0"/>
      <w:outlineLvl w:val="8"/>
    </w:pPr>
    <w:rPr>
      <w:rFonts w:asciiTheme="majorHAnsi" w:eastAsiaTheme="majorEastAsia" w:hAnsiTheme="majorHAnsi" w:cstheme="majorBidi"/>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qFormat/>
    <w:rsid w:val="00F85021"/>
    <w:pPr>
      <w:spacing w:before="180" w:after="180"/>
    </w:pPr>
  </w:style>
  <w:style w:type="paragraph" w:customStyle="1" w:styleId="FirstParagraph">
    <w:name w:val="First Paragraph"/>
    <w:basedOn w:val="Szvegtrzs"/>
    <w:next w:val="Szvegtrzs"/>
    <w:link w:val="FirstParagraphChar"/>
    <w:qFormat/>
    <w:rsid w:val="00985A2A"/>
  </w:style>
  <w:style w:type="paragraph" w:customStyle="1" w:styleId="Compact">
    <w:name w:val="Compact"/>
    <w:basedOn w:val="Szvegtrzs"/>
    <w:qFormat/>
    <w:rsid w:val="00F85021"/>
    <w:pPr>
      <w:spacing w:before="36" w:after="36"/>
    </w:pPr>
  </w:style>
  <w:style w:type="paragraph" w:styleId="Cm">
    <w:name w:val="Title"/>
    <w:basedOn w:val="Norml"/>
    <w:next w:val="Szvegtrzs"/>
    <w:qFormat/>
    <w:rsid w:val="00F04BC6"/>
    <w:pPr>
      <w:keepNext/>
      <w:keepLines/>
      <w:spacing w:before="480" w:after="240"/>
      <w:jc w:val="center"/>
    </w:pPr>
    <w:rPr>
      <w:rFonts w:eastAsiaTheme="majorEastAsia" w:cstheme="majorBidi"/>
      <w:b/>
      <w:bCs/>
      <w:i/>
      <w:sz w:val="36"/>
      <w:szCs w:val="36"/>
    </w:rPr>
  </w:style>
  <w:style w:type="paragraph" w:styleId="Alcm">
    <w:name w:val="Subtitle"/>
    <w:basedOn w:val="Cm"/>
    <w:next w:val="Szvegtrzs"/>
    <w:qFormat/>
    <w:rsid w:val="00F85021"/>
    <w:pPr>
      <w:spacing w:before="240"/>
    </w:pPr>
    <w:rPr>
      <w:sz w:val="30"/>
      <w:szCs w:val="30"/>
    </w:rPr>
  </w:style>
  <w:style w:type="paragraph" w:customStyle="1" w:styleId="Author">
    <w:name w:val="Author"/>
    <w:next w:val="Szvegtrzs"/>
    <w:qFormat/>
    <w:rsid w:val="00F85021"/>
    <w:pPr>
      <w:keepNext/>
      <w:keepLines/>
      <w:jc w:val="center"/>
    </w:pPr>
  </w:style>
  <w:style w:type="paragraph" w:styleId="Dtum">
    <w:name w:val="Date"/>
    <w:next w:val="Szvegtrzs"/>
    <w:qFormat/>
    <w:rsid w:val="00985A2A"/>
    <w:pPr>
      <w:keepNext/>
      <w:keepLines/>
      <w:jc w:val="center"/>
    </w:pPr>
    <w:rPr>
      <w:rFonts w:ascii="Times New Roman" w:hAnsi="Times New Roman"/>
    </w:rPr>
  </w:style>
  <w:style w:type="paragraph" w:customStyle="1" w:styleId="Abstract">
    <w:name w:val="Abstract"/>
    <w:basedOn w:val="Norml"/>
    <w:next w:val="Szvegtrzs"/>
    <w:qFormat/>
    <w:rsid w:val="00F85021"/>
    <w:pPr>
      <w:keepNext/>
      <w:keepLines/>
      <w:spacing w:before="300" w:after="300"/>
    </w:pPr>
    <w:rPr>
      <w:sz w:val="20"/>
      <w:szCs w:val="20"/>
    </w:rPr>
  </w:style>
  <w:style w:type="paragraph" w:styleId="Irodalomjegyzk">
    <w:name w:val="Bibliography"/>
    <w:basedOn w:val="Norml"/>
    <w:qFormat/>
    <w:rsid w:val="00F85021"/>
  </w:style>
  <w:style w:type="paragraph" w:styleId="Szvegblokk">
    <w:name w:val="Block Text"/>
    <w:basedOn w:val="Szvegtrzs"/>
    <w:next w:val="Szvegtrzs"/>
    <w:uiPriority w:val="9"/>
    <w:unhideWhenUsed/>
    <w:qFormat/>
    <w:rsid w:val="00F85021"/>
    <w:pPr>
      <w:spacing w:before="100" w:after="100"/>
      <w:ind w:left="480" w:right="480"/>
    </w:pPr>
  </w:style>
  <w:style w:type="paragraph" w:styleId="Lbjegyzetszveg">
    <w:name w:val="footnote text"/>
    <w:basedOn w:val="Norml"/>
    <w:uiPriority w:val="9"/>
    <w:unhideWhenUsed/>
    <w:qFormat/>
    <w:rsid w:val="00985A2A"/>
    <w:rPr>
      <w:sz w:val="20"/>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l"/>
    <w:next w:val="Definition"/>
    <w:pPr>
      <w:keepNext/>
      <w:keepLines/>
      <w:spacing w:after="0"/>
    </w:pPr>
    <w:rPr>
      <w:b/>
    </w:rPr>
  </w:style>
  <w:style w:type="paragraph" w:customStyle="1" w:styleId="Definition">
    <w:name w:val="Definition"/>
    <w:basedOn w:val="Norml"/>
  </w:style>
  <w:style w:type="paragraph" w:styleId="Kpalrs">
    <w:name w:val="caption"/>
    <w:basedOn w:val="Norml"/>
    <w:link w:val="KpalrsChar"/>
    <w:pPr>
      <w:spacing w:after="120"/>
    </w:pPr>
    <w:rPr>
      <w:i/>
    </w:rPr>
  </w:style>
  <w:style w:type="paragraph" w:customStyle="1" w:styleId="TableCaption">
    <w:name w:val="Table Caption"/>
    <w:basedOn w:val="Kpalrs"/>
    <w:pPr>
      <w:keepNext/>
    </w:pPr>
  </w:style>
  <w:style w:type="paragraph" w:customStyle="1" w:styleId="ImageCaption">
    <w:name w:val="Image Caption"/>
    <w:basedOn w:val="Kpalrs"/>
    <w:rsid w:val="00F04BC6"/>
    <w:pPr>
      <w:jc w:val="center"/>
    </w:pPr>
  </w:style>
  <w:style w:type="paragraph" w:customStyle="1" w:styleId="Figure">
    <w:name w:val="Figure"/>
    <w:basedOn w:val="Norml"/>
  </w:style>
  <w:style w:type="paragraph" w:customStyle="1" w:styleId="CaptionedFigure">
    <w:name w:val="Captioned Figure"/>
    <w:basedOn w:val="Figure"/>
    <w:rsid w:val="00F04BC6"/>
    <w:pPr>
      <w:keepNext/>
      <w:jc w:val="center"/>
    </w:pPr>
  </w:style>
  <w:style w:type="character" w:customStyle="1" w:styleId="KpalrsChar">
    <w:name w:val="Képaláírás Char"/>
    <w:basedOn w:val="Bekezdsalapbettpusa"/>
    <w:link w:val="Kpalrs"/>
  </w:style>
  <w:style w:type="character" w:customStyle="1" w:styleId="VerbatimChar">
    <w:name w:val="Verbatim Char"/>
    <w:basedOn w:val="KpalrsChar"/>
    <w:link w:val="SourceCode"/>
    <w:rPr>
      <w:rFonts w:ascii="Consolas" w:hAnsi="Consolas"/>
      <w:sz w:val="22"/>
    </w:rPr>
  </w:style>
  <w:style w:type="character" w:customStyle="1" w:styleId="SectionNumber">
    <w:name w:val="Section Number"/>
    <w:basedOn w:val="KpalrsChar"/>
  </w:style>
  <w:style w:type="character" w:styleId="Lbjegyzet-hivatkozs">
    <w:name w:val="footnote reference"/>
    <w:basedOn w:val="KpalrsChar"/>
    <w:rPr>
      <w:vertAlign w:val="superscript"/>
    </w:rPr>
  </w:style>
  <w:style w:type="character" w:styleId="Hiperhivatkozs">
    <w:name w:val="Hyperlink"/>
    <w:basedOn w:val="KpalrsChar"/>
    <w:rPr>
      <w:color w:val="4F81BD" w:themeColor="accent1"/>
    </w:rPr>
  </w:style>
  <w:style w:type="paragraph" w:styleId="Tartalomjegyzkcmsora">
    <w:name w:val="TOC Heading"/>
    <w:basedOn w:val="Cmsor1"/>
    <w:next w:val="Szvegtrzs"/>
    <w:uiPriority w:val="39"/>
    <w:unhideWhenUsed/>
    <w:qFormat/>
    <w:rsid w:val="00F85021"/>
    <w:pPr>
      <w:spacing w:before="240" w:line="259" w:lineRule="auto"/>
      <w:outlineLvl w:val="9"/>
    </w:pPr>
    <w:rPr>
      <w:b w:val="0"/>
      <w:bCs w:val="0"/>
      <w:color w:val="365F91" w:themeColor="accent1" w:themeShade="BF"/>
    </w:rPr>
  </w:style>
  <w:style w:type="paragraph" w:customStyle="1" w:styleId="SourceCode">
    <w:name w:val="Source Code"/>
    <w:basedOn w:val="Norm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customStyle="1" w:styleId="Stlus1">
    <w:name w:val="Stílus1"/>
    <w:basedOn w:val="FirstParagraph"/>
    <w:link w:val="Stlus1Char"/>
    <w:qFormat/>
    <w:rsid w:val="00F85021"/>
    <w:rPr>
      <w:rFonts w:cs="Times New Roman"/>
    </w:rPr>
  </w:style>
  <w:style w:type="character" w:customStyle="1" w:styleId="SzvegtrzsChar">
    <w:name w:val="Szövegtörzs Char"/>
    <w:basedOn w:val="Bekezdsalapbettpusa"/>
    <w:link w:val="Szvegtrzs"/>
    <w:rsid w:val="00F85021"/>
  </w:style>
  <w:style w:type="character" w:customStyle="1" w:styleId="FirstParagraphChar">
    <w:name w:val="First Paragraph Char"/>
    <w:basedOn w:val="SzvegtrzsChar"/>
    <w:link w:val="FirstParagraph"/>
    <w:rsid w:val="00985A2A"/>
    <w:rPr>
      <w:rFonts w:ascii="Times New Roman" w:hAnsi="Times New Roman"/>
    </w:rPr>
  </w:style>
  <w:style w:type="character" w:customStyle="1" w:styleId="Stlus1Char">
    <w:name w:val="Stílus1 Char"/>
    <w:basedOn w:val="FirstParagraphChar"/>
    <w:link w:val="Stlus1"/>
    <w:rsid w:val="00F85021"/>
    <w:rPr>
      <w:rFonts w:ascii="Times New Roman" w:hAnsi="Times New Roman" w:cs="Times New Roman"/>
    </w:rPr>
  </w:style>
  <w:style w:type="paragraph" w:customStyle="1" w:styleId="Style2">
    <w:name w:val="Style2"/>
    <w:basedOn w:val="Stlus1"/>
    <w:link w:val="Style2Char"/>
    <w:qFormat/>
    <w:rsid w:val="00B03863"/>
  </w:style>
  <w:style w:type="character" w:customStyle="1" w:styleId="Style2Char">
    <w:name w:val="Style2 Char"/>
    <w:basedOn w:val="Stlus1Char"/>
    <w:link w:val="Style2"/>
    <w:rsid w:val="00B03863"/>
    <w:rPr>
      <w:rFonts w:ascii="Times New Roman" w:hAnsi="Times New Roman" w:cs="Times New Roman"/>
    </w:rPr>
  </w:style>
  <w:style w:type="paragraph" w:styleId="Buborkszveg">
    <w:name w:val="Balloon Text"/>
    <w:basedOn w:val="Norml"/>
    <w:link w:val="BuborkszvegChar"/>
    <w:rsid w:val="007D718C"/>
    <w:pPr>
      <w:spacing w:after="0"/>
    </w:pPr>
    <w:rPr>
      <w:rFonts w:ascii="Tahoma" w:hAnsi="Tahoma" w:cs="Tahoma"/>
      <w:sz w:val="16"/>
      <w:szCs w:val="16"/>
    </w:rPr>
  </w:style>
  <w:style w:type="character" w:customStyle="1" w:styleId="BuborkszvegChar">
    <w:name w:val="Buborékszöveg Char"/>
    <w:basedOn w:val="Bekezdsalapbettpusa"/>
    <w:link w:val="Buborkszveg"/>
    <w:rsid w:val="007D718C"/>
    <w:rPr>
      <w:rFonts w:ascii="Tahoma" w:hAnsi="Tahoma" w:cs="Tahoma"/>
      <w:sz w:val="16"/>
      <w:szCs w:val="16"/>
    </w:rPr>
  </w:style>
  <w:style w:type="paragraph" w:styleId="lfej">
    <w:name w:val="header"/>
    <w:basedOn w:val="Norml"/>
    <w:link w:val="lfejChar"/>
    <w:rsid w:val="00D52CF9"/>
    <w:pPr>
      <w:tabs>
        <w:tab w:val="center" w:pos="4536"/>
        <w:tab w:val="right" w:pos="9072"/>
      </w:tabs>
      <w:spacing w:after="0"/>
    </w:pPr>
  </w:style>
  <w:style w:type="character" w:customStyle="1" w:styleId="lfejChar">
    <w:name w:val="Élőfej Char"/>
    <w:basedOn w:val="Bekezdsalapbettpusa"/>
    <w:link w:val="lfej"/>
    <w:rsid w:val="00D52CF9"/>
  </w:style>
  <w:style w:type="paragraph" w:styleId="llb">
    <w:name w:val="footer"/>
    <w:basedOn w:val="Norml"/>
    <w:link w:val="llbChar"/>
    <w:uiPriority w:val="99"/>
    <w:rsid w:val="00D52CF9"/>
    <w:pPr>
      <w:tabs>
        <w:tab w:val="center" w:pos="4536"/>
        <w:tab w:val="right" w:pos="9072"/>
      </w:tabs>
      <w:spacing w:after="0"/>
    </w:pPr>
  </w:style>
  <w:style w:type="character" w:customStyle="1" w:styleId="llbChar">
    <w:name w:val="Élőláb Char"/>
    <w:basedOn w:val="Bekezdsalapbettpusa"/>
    <w:link w:val="llb"/>
    <w:uiPriority w:val="99"/>
    <w:rsid w:val="00D52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 w:qFormat="1"/>
    <w:lsdException w:name="footer" w:uiPriority="99"/>
    <w:lsdException w:name="Title" w:qFormat="1"/>
    <w:lsdException w:name="Body Text" w:qFormat="1"/>
    <w:lsdException w:name="Subtitle" w:qFormat="1"/>
    <w:lsdException w:name="Date" w:qFormat="1"/>
    <w:lsdException w:name="Block Text" w:uiPriority="9" w:qFormat="1"/>
    <w:lsdException w:name="Bibliography" w:qFormat="1"/>
    <w:lsdException w:name="TOC Heading" w:uiPriority="39" w:qFormat="1"/>
  </w:latentStyles>
  <w:style w:type="paragraph" w:default="1" w:styleId="Norml">
    <w:name w:val="Normal"/>
    <w:qFormat/>
    <w:rsid w:val="00985A2A"/>
    <w:pPr>
      <w:jc w:val="both"/>
    </w:pPr>
    <w:rPr>
      <w:rFonts w:ascii="Times New Roman" w:hAnsi="Times New Roman"/>
    </w:rPr>
  </w:style>
  <w:style w:type="paragraph" w:styleId="Cmsor1">
    <w:name w:val="heading 1"/>
    <w:basedOn w:val="Norml"/>
    <w:next w:val="Szvegtrzs"/>
    <w:uiPriority w:val="9"/>
    <w:qFormat/>
    <w:rsid w:val="00985A2A"/>
    <w:pPr>
      <w:keepNext/>
      <w:keepLines/>
      <w:spacing w:before="480" w:after="0"/>
      <w:outlineLvl w:val="0"/>
    </w:pPr>
    <w:rPr>
      <w:rFonts w:eastAsiaTheme="majorEastAsia" w:cstheme="majorBidi"/>
      <w:b/>
      <w:bCs/>
      <w:color w:val="4F81BD" w:themeColor="accent1"/>
      <w:sz w:val="32"/>
      <w:szCs w:val="32"/>
    </w:rPr>
  </w:style>
  <w:style w:type="paragraph" w:styleId="Cmsor2">
    <w:name w:val="heading 2"/>
    <w:basedOn w:val="Norml"/>
    <w:next w:val="Szvegtrzs"/>
    <w:uiPriority w:val="9"/>
    <w:unhideWhenUsed/>
    <w:qFormat/>
    <w:rsid w:val="00985A2A"/>
    <w:pPr>
      <w:keepNext/>
      <w:keepLines/>
      <w:spacing w:before="200" w:after="0"/>
      <w:outlineLvl w:val="1"/>
    </w:pPr>
    <w:rPr>
      <w:rFonts w:eastAsiaTheme="majorEastAsia" w:cstheme="majorBidi"/>
      <w:b/>
      <w:bCs/>
      <w:color w:val="4F81BD" w:themeColor="accent1"/>
      <w:sz w:val="28"/>
      <w:szCs w:val="28"/>
    </w:rPr>
  </w:style>
  <w:style w:type="paragraph" w:styleId="Cmsor3">
    <w:name w:val="heading 3"/>
    <w:basedOn w:val="Norml"/>
    <w:next w:val="Szvegtrzs"/>
    <w:uiPriority w:val="9"/>
    <w:unhideWhenUsed/>
    <w:qFormat/>
    <w:rsid w:val="00F85021"/>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Szvegtrzs"/>
    <w:uiPriority w:val="9"/>
    <w:unhideWhenUsed/>
    <w:qFormat/>
    <w:rsid w:val="00F85021"/>
    <w:pPr>
      <w:keepNext/>
      <w:keepLines/>
      <w:spacing w:before="200" w:after="0"/>
      <w:outlineLvl w:val="3"/>
    </w:pPr>
    <w:rPr>
      <w:rFonts w:asciiTheme="majorHAnsi" w:eastAsiaTheme="majorEastAsia" w:hAnsiTheme="majorHAnsi" w:cstheme="majorBidi"/>
      <w:bCs/>
      <w:i/>
      <w:color w:val="4F81BD" w:themeColor="accent1"/>
    </w:rPr>
  </w:style>
  <w:style w:type="paragraph" w:styleId="Cmsor5">
    <w:name w:val="heading 5"/>
    <w:basedOn w:val="Norml"/>
    <w:next w:val="Szvegtrzs"/>
    <w:uiPriority w:val="9"/>
    <w:unhideWhenUsed/>
    <w:qFormat/>
    <w:rsid w:val="00F85021"/>
    <w:pPr>
      <w:keepNext/>
      <w:keepLines/>
      <w:spacing w:before="200" w:after="0"/>
      <w:outlineLvl w:val="4"/>
    </w:pPr>
    <w:rPr>
      <w:rFonts w:asciiTheme="majorHAnsi" w:eastAsiaTheme="majorEastAsia" w:hAnsiTheme="majorHAnsi" w:cstheme="majorBidi"/>
      <w:iCs/>
      <w:color w:val="4F81BD" w:themeColor="accent1"/>
    </w:rPr>
  </w:style>
  <w:style w:type="paragraph" w:styleId="Cmsor6">
    <w:name w:val="heading 6"/>
    <w:basedOn w:val="Norml"/>
    <w:next w:val="Szvegtrzs"/>
    <w:uiPriority w:val="9"/>
    <w:unhideWhenUsed/>
    <w:qFormat/>
    <w:rsid w:val="00F85021"/>
    <w:pPr>
      <w:keepNext/>
      <w:keepLines/>
      <w:spacing w:before="200" w:after="0"/>
      <w:outlineLvl w:val="5"/>
    </w:pPr>
    <w:rPr>
      <w:rFonts w:asciiTheme="majorHAnsi" w:eastAsiaTheme="majorEastAsia" w:hAnsiTheme="majorHAnsi" w:cstheme="majorBidi"/>
      <w:color w:val="4F81BD" w:themeColor="accent1"/>
    </w:rPr>
  </w:style>
  <w:style w:type="paragraph" w:styleId="Cmsor7">
    <w:name w:val="heading 7"/>
    <w:basedOn w:val="Norml"/>
    <w:next w:val="Szvegtrzs"/>
    <w:uiPriority w:val="9"/>
    <w:unhideWhenUsed/>
    <w:qFormat/>
    <w:rsid w:val="00F85021"/>
    <w:pPr>
      <w:keepNext/>
      <w:keepLines/>
      <w:spacing w:before="200" w:after="0"/>
      <w:outlineLvl w:val="6"/>
    </w:pPr>
    <w:rPr>
      <w:rFonts w:asciiTheme="majorHAnsi" w:eastAsiaTheme="majorEastAsia" w:hAnsiTheme="majorHAnsi" w:cstheme="majorBidi"/>
      <w:color w:val="4F81BD" w:themeColor="accent1"/>
    </w:rPr>
  </w:style>
  <w:style w:type="paragraph" w:styleId="Cmsor8">
    <w:name w:val="heading 8"/>
    <w:basedOn w:val="Norml"/>
    <w:next w:val="Szvegtrzs"/>
    <w:uiPriority w:val="9"/>
    <w:unhideWhenUsed/>
    <w:qFormat/>
    <w:rsid w:val="00F85021"/>
    <w:pPr>
      <w:keepNext/>
      <w:keepLines/>
      <w:spacing w:before="200" w:after="0"/>
      <w:outlineLvl w:val="7"/>
    </w:pPr>
    <w:rPr>
      <w:rFonts w:asciiTheme="majorHAnsi" w:eastAsiaTheme="majorEastAsia" w:hAnsiTheme="majorHAnsi" w:cstheme="majorBidi"/>
      <w:color w:val="4F81BD" w:themeColor="accent1"/>
    </w:rPr>
  </w:style>
  <w:style w:type="paragraph" w:styleId="Cmsor9">
    <w:name w:val="heading 9"/>
    <w:basedOn w:val="Norml"/>
    <w:next w:val="Szvegtrzs"/>
    <w:uiPriority w:val="9"/>
    <w:unhideWhenUsed/>
    <w:qFormat/>
    <w:rsid w:val="00F85021"/>
    <w:pPr>
      <w:keepNext/>
      <w:keepLines/>
      <w:spacing w:before="200" w:after="0"/>
      <w:outlineLvl w:val="8"/>
    </w:pPr>
    <w:rPr>
      <w:rFonts w:asciiTheme="majorHAnsi" w:eastAsiaTheme="majorEastAsia" w:hAnsiTheme="majorHAnsi" w:cstheme="majorBidi"/>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qFormat/>
    <w:rsid w:val="00F85021"/>
    <w:pPr>
      <w:spacing w:before="180" w:after="180"/>
    </w:pPr>
  </w:style>
  <w:style w:type="paragraph" w:customStyle="1" w:styleId="FirstParagraph">
    <w:name w:val="First Paragraph"/>
    <w:basedOn w:val="Szvegtrzs"/>
    <w:next w:val="Szvegtrzs"/>
    <w:link w:val="FirstParagraphChar"/>
    <w:qFormat/>
    <w:rsid w:val="00985A2A"/>
  </w:style>
  <w:style w:type="paragraph" w:customStyle="1" w:styleId="Compact">
    <w:name w:val="Compact"/>
    <w:basedOn w:val="Szvegtrzs"/>
    <w:qFormat/>
    <w:rsid w:val="00F85021"/>
    <w:pPr>
      <w:spacing w:before="36" w:after="36"/>
    </w:pPr>
  </w:style>
  <w:style w:type="paragraph" w:styleId="Cm">
    <w:name w:val="Title"/>
    <w:basedOn w:val="Norml"/>
    <w:next w:val="Szvegtrzs"/>
    <w:qFormat/>
    <w:rsid w:val="00F04BC6"/>
    <w:pPr>
      <w:keepNext/>
      <w:keepLines/>
      <w:spacing w:before="480" w:after="240"/>
      <w:jc w:val="center"/>
    </w:pPr>
    <w:rPr>
      <w:rFonts w:eastAsiaTheme="majorEastAsia" w:cstheme="majorBidi"/>
      <w:b/>
      <w:bCs/>
      <w:i/>
      <w:sz w:val="36"/>
      <w:szCs w:val="36"/>
    </w:rPr>
  </w:style>
  <w:style w:type="paragraph" w:styleId="Alcm">
    <w:name w:val="Subtitle"/>
    <w:basedOn w:val="Cm"/>
    <w:next w:val="Szvegtrzs"/>
    <w:qFormat/>
    <w:rsid w:val="00F85021"/>
    <w:pPr>
      <w:spacing w:before="240"/>
    </w:pPr>
    <w:rPr>
      <w:sz w:val="30"/>
      <w:szCs w:val="30"/>
    </w:rPr>
  </w:style>
  <w:style w:type="paragraph" w:customStyle="1" w:styleId="Author">
    <w:name w:val="Author"/>
    <w:next w:val="Szvegtrzs"/>
    <w:qFormat/>
    <w:rsid w:val="00F85021"/>
    <w:pPr>
      <w:keepNext/>
      <w:keepLines/>
      <w:jc w:val="center"/>
    </w:pPr>
  </w:style>
  <w:style w:type="paragraph" w:styleId="Dtum">
    <w:name w:val="Date"/>
    <w:next w:val="Szvegtrzs"/>
    <w:qFormat/>
    <w:rsid w:val="00985A2A"/>
    <w:pPr>
      <w:keepNext/>
      <w:keepLines/>
      <w:jc w:val="center"/>
    </w:pPr>
    <w:rPr>
      <w:rFonts w:ascii="Times New Roman" w:hAnsi="Times New Roman"/>
    </w:rPr>
  </w:style>
  <w:style w:type="paragraph" w:customStyle="1" w:styleId="Abstract">
    <w:name w:val="Abstract"/>
    <w:basedOn w:val="Norml"/>
    <w:next w:val="Szvegtrzs"/>
    <w:qFormat/>
    <w:rsid w:val="00F85021"/>
    <w:pPr>
      <w:keepNext/>
      <w:keepLines/>
      <w:spacing w:before="300" w:after="300"/>
    </w:pPr>
    <w:rPr>
      <w:sz w:val="20"/>
      <w:szCs w:val="20"/>
    </w:rPr>
  </w:style>
  <w:style w:type="paragraph" w:styleId="Irodalomjegyzk">
    <w:name w:val="Bibliography"/>
    <w:basedOn w:val="Norml"/>
    <w:qFormat/>
    <w:rsid w:val="00F85021"/>
  </w:style>
  <w:style w:type="paragraph" w:styleId="Szvegblokk">
    <w:name w:val="Block Text"/>
    <w:basedOn w:val="Szvegtrzs"/>
    <w:next w:val="Szvegtrzs"/>
    <w:uiPriority w:val="9"/>
    <w:unhideWhenUsed/>
    <w:qFormat/>
    <w:rsid w:val="00F85021"/>
    <w:pPr>
      <w:spacing w:before="100" w:after="100"/>
      <w:ind w:left="480" w:right="480"/>
    </w:pPr>
  </w:style>
  <w:style w:type="paragraph" w:styleId="Lbjegyzetszveg">
    <w:name w:val="footnote text"/>
    <w:basedOn w:val="Norml"/>
    <w:uiPriority w:val="9"/>
    <w:unhideWhenUsed/>
    <w:qFormat/>
    <w:rsid w:val="00985A2A"/>
    <w:rPr>
      <w:sz w:val="20"/>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l"/>
    <w:next w:val="Definition"/>
    <w:pPr>
      <w:keepNext/>
      <w:keepLines/>
      <w:spacing w:after="0"/>
    </w:pPr>
    <w:rPr>
      <w:b/>
    </w:rPr>
  </w:style>
  <w:style w:type="paragraph" w:customStyle="1" w:styleId="Definition">
    <w:name w:val="Definition"/>
    <w:basedOn w:val="Norml"/>
  </w:style>
  <w:style w:type="paragraph" w:styleId="Kpalrs">
    <w:name w:val="caption"/>
    <w:basedOn w:val="Norml"/>
    <w:link w:val="KpalrsChar"/>
    <w:pPr>
      <w:spacing w:after="120"/>
    </w:pPr>
    <w:rPr>
      <w:i/>
    </w:rPr>
  </w:style>
  <w:style w:type="paragraph" w:customStyle="1" w:styleId="TableCaption">
    <w:name w:val="Table Caption"/>
    <w:basedOn w:val="Kpalrs"/>
    <w:pPr>
      <w:keepNext/>
    </w:pPr>
  </w:style>
  <w:style w:type="paragraph" w:customStyle="1" w:styleId="ImageCaption">
    <w:name w:val="Image Caption"/>
    <w:basedOn w:val="Kpalrs"/>
    <w:rsid w:val="00F04BC6"/>
    <w:pPr>
      <w:jc w:val="center"/>
    </w:pPr>
  </w:style>
  <w:style w:type="paragraph" w:customStyle="1" w:styleId="Figure">
    <w:name w:val="Figure"/>
    <w:basedOn w:val="Norml"/>
  </w:style>
  <w:style w:type="paragraph" w:customStyle="1" w:styleId="CaptionedFigure">
    <w:name w:val="Captioned Figure"/>
    <w:basedOn w:val="Figure"/>
    <w:rsid w:val="00F04BC6"/>
    <w:pPr>
      <w:keepNext/>
      <w:jc w:val="center"/>
    </w:pPr>
  </w:style>
  <w:style w:type="character" w:customStyle="1" w:styleId="KpalrsChar">
    <w:name w:val="Képaláírás Char"/>
    <w:basedOn w:val="Bekezdsalapbettpusa"/>
    <w:link w:val="Kpalrs"/>
  </w:style>
  <w:style w:type="character" w:customStyle="1" w:styleId="VerbatimChar">
    <w:name w:val="Verbatim Char"/>
    <w:basedOn w:val="KpalrsChar"/>
    <w:link w:val="SourceCode"/>
    <w:rPr>
      <w:rFonts w:ascii="Consolas" w:hAnsi="Consolas"/>
      <w:sz w:val="22"/>
    </w:rPr>
  </w:style>
  <w:style w:type="character" w:customStyle="1" w:styleId="SectionNumber">
    <w:name w:val="Section Number"/>
    <w:basedOn w:val="KpalrsChar"/>
  </w:style>
  <w:style w:type="character" w:styleId="Lbjegyzet-hivatkozs">
    <w:name w:val="footnote reference"/>
    <w:basedOn w:val="KpalrsChar"/>
    <w:rPr>
      <w:vertAlign w:val="superscript"/>
    </w:rPr>
  </w:style>
  <w:style w:type="character" w:styleId="Hiperhivatkozs">
    <w:name w:val="Hyperlink"/>
    <w:basedOn w:val="KpalrsChar"/>
    <w:rPr>
      <w:color w:val="4F81BD" w:themeColor="accent1"/>
    </w:rPr>
  </w:style>
  <w:style w:type="paragraph" w:styleId="Tartalomjegyzkcmsora">
    <w:name w:val="TOC Heading"/>
    <w:basedOn w:val="Cmsor1"/>
    <w:next w:val="Szvegtrzs"/>
    <w:uiPriority w:val="39"/>
    <w:unhideWhenUsed/>
    <w:qFormat/>
    <w:rsid w:val="00F85021"/>
    <w:pPr>
      <w:spacing w:before="240" w:line="259" w:lineRule="auto"/>
      <w:outlineLvl w:val="9"/>
    </w:pPr>
    <w:rPr>
      <w:b w:val="0"/>
      <w:bCs w:val="0"/>
      <w:color w:val="365F91" w:themeColor="accent1" w:themeShade="BF"/>
    </w:rPr>
  </w:style>
  <w:style w:type="paragraph" w:customStyle="1" w:styleId="SourceCode">
    <w:name w:val="Source Code"/>
    <w:basedOn w:val="Norm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customStyle="1" w:styleId="Stlus1">
    <w:name w:val="Stílus1"/>
    <w:basedOn w:val="FirstParagraph"/>
    <w:link w:val="Stlus1Char"/>
    <w:qFormat/>
    <w:rsid w:val="00F85021"/>
    <w:rPr>
      <w:rFonts w:cs="Times New Roman"/>
    </w:rPr>
  </w:style>
  <w:style w:type="character" w:customStyle="1" w:styleId="SzvegtrzsChar">
    <w:name w:val="Szövegtörzs Char"/>
    <w:basedOn w:val="Bekezdsalapbettpusa"/>
    <w:link w:val="Szvegtrzs"/>
    <w:rsid w:val="00F85021"/>
  </w:style>
  <w:style w:type="character" w:customStyle="1" w:styleId="FirstParagraphChar">
    <w:name w:val="First Paragraph Char"/>
    <w:basedOn w:val="SzvegtrzsChar"/>
    <w:link w:val="FirstParagraph"/>
    <w:rsid w:val="00985A2A"/>
    <w:rPr>
      <w:rFonts w:ascii="Times New Roman" w:hAnsi="Times New Roman"/>
    </w:rPr>
  </w:style>
  <w:style w:type="character" w:customStyle="1" w:styleId="Stlus1Char">
    <w:name w:val="Stílus1 Char"/>
    <w:basedOn w:val="FirstParagraphChar"/>
    <w:link w:val="Stlus1"/>
    <w:rsid w:val="00F85021"/>
    <w:rPr>
      <w:rFonts w:ascii="Times New Roman" w:hAnsi="Times New Roman" w:cs="Times New Roman"/>
    </w:rPr>
  </w:style>
  <w:style w:type="paragraph" w:customStyle="1" w:styleId="Style2">
    <w:name w:val="Style2"/>
    <w:basedOn w:val="Stlus1"/>
    <w:link w:val="Style2Char"/>
    <w:qFormat/>
    <w:rsid w:val="00B03863"/>
  </w:style>
  <w:style w:type="character" w:customStyle="1" w:styleId="Style2Char">
    <w:name w:val="Style2 Char"/>
    <w:basedOn w:val="Stlus1Char"/>
    <w:link w:val="Style2"/>
    <w:rsid w:val="00B03863"/>
    <w:rPr>
      <w:rFonts w:ascii="Times New Roman" w:hAnsi="Times New Roman" w:cs="Times New Roman"/>
    </w:rPr>
  </w:style>
  <w:style w:type="paragraph" w:styleId="Buborkszveg">
    <w:name w:val="Balloon Text"/>
    <w:basedOn w:val="Norml"/>
    <w:link w:val="BuborkszvegChar"/>
    <w:rsid w:val="007D718C"/>
    <w:pPr>
      <w:spacing w:after="0"/>
    </w:pPr>
    <w:rPr>
      <w:rFonts w:ascii="Tahoma" w:hAnsi="Tahoma" w:cs="Tahoma"/>
      <w:sz w:val="16"/>
      <w:szCs w:val="16"/>
    </w:rPr>
  </w:style>
  <w:style w:type="character" w:customStyle="1" w:styleId="BuborkszvegChar">
    <w:name w:val="Buborékszöveg Char"/>
    <w:basedOn w:val="Bekezdsalapbettpusa"/>
    <w:link w:val="Buborkszveg"/>
    <w:rsid w:val="007D718C"/>
    <w:rPr>
      <w:rFonts w:ascii="Tahoma" w:hAnsi="Tahoma" w:cs="Tahoma"/>
      <w:sz w:val="16"/>
      <w:szCs w:val="16"/>
    </w:rPr>
  </w:style>
  <w:style w:type="paragraph" w:styleId="lfej">
    <w:name w:val="header"/>
    <w:basedOn w:val="Norml"/>
    <w:link w:val="lfejChar"/>
    <w:rsid w:val="00D52CF9"/>
    <w:pPr>
      <w:tabs>
        <w:tab w:val="center" w:pos="4536"/>
        <w:tab w:val="right" w:pos="9072"/>
      </w:tabs>
      <w:spacing w:after="0"/>
    </w:pPr>
  </w:style>
  <w:style w:type="character" w:customStyle="1" w:styleId="lfejChar">
    <w:name w:val="Élőfej Char"/>
    <w:basedOn w:val="Bekezdsalapbettpusa"/>
    <w:link w:val="lfej"/>
    <w:rsid w:val="00D52CF9"/>
  </w:style>
  <w:style w:type="paragraph" w:styleId="llb">
    <w:name w:val="footer"/>
    <w:basedOn w:val="Norml"/>
    <w:link w:val="llbChar"/>
    <w:uiPriority w:val="99"/>
    <w:rsid w:val="00D52CF9"/>
    <w:pPr>
      <w:tabs>
        <w:tab w:val="center" w:pos="4536"/>
        <w:tab w:val="right" w:pos="9072"/>
      </w:tabs>
      <w:spacing w:after="0"/>
    </w:pPr>
  </w:style>
  <w:style w:type="character" w:customStyle="1" w:styleId="llbChar">
    <w:name w:val="Élőláb Char"/>
    <w:basedOn w:val="Bekezdsalapbettpusa"/>
    <w:link w:val="llb"/>
    <w:uiPriority w:val="99"/>
    <w:rsid w:val="00D52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919</Words>
  <Characters>6346</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Statisztikai közlemény</vt:lpstr>
    </vt:vector>
  </TitlesOfParts>
  <Company>NÉBIH</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Statisztikai közlemény</dc:title>
  <dc:creator/>
  <cp:keywords/>
  <cp:lastModifiedBy>Dr. Tobisch Tamás</cp:lastModifiedBy>
  <cp:revision>3</cp:revision>
  <dcterms:created xsi:type="dcterms:W3CDTF">2023-10-17T13:54:00Z</dcterms:created>
  <dcterms:modified xsi:type="dcterms:W3CDTF">2023-10-17T13:57:00Z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Nyomtatás ideje: 2023 október 17.</vt:lpwstr>
  </property>
  <property fmtid="{D5CDD505-2E9C-101B-9397-08002B2CF9AE}" pid="3" name="output">
    <vt:lpwstr/>
  </property>
  <property fmtid="{D5CDD505-2E9C-101B-9397-08002B2CF9AE}" pid="4" name="subtitle">
    <vt:lpwstr>a „Nettó fakitermelés” c. 2022. évi adatfelvételről</vt:lpwstr>
  </property>
</Properties>
</file>